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41" w:lineRule="exact"/>
        <w:rPr>
          <w:sz w:val="24"/>
          <w:szCs w:val="24"/>
          <w:color w:val="auto"/>
        </w:rPr>
      </w:pPr>
    </w:p>
    <w:p>
      <w:pPr>
        <w:spacing w:after="0" w:line="311" w:lineRule="exact"/>
        <w:tabs>
          <w:tab w:leader="none" w:pos="1140" w:val="left"/>
        </w:tabs>
        <w:rPr>
          <w:sz w:val="20"/>
          <w:szCs w:val="20"/>
          <w:color w:val="auto"/>
        </w:rPr>
      </w:pPr>
      <w:r>
        <w:rPr>
          <w:rFonts w:ascii="Arial" w:cs="Arial" w:eastAsia="Arial" w:hAnsi="Arial"/>
          <w:sz w:val="27"/>
          <w:szCs w:val="27"/>
          <w:color w:val="auto"/>
          <w:vertAlign w:val="subscript"/>
        </w:rPr>
        <w:t>(Mark one)</w:t>
      </w:r>
      <w:r>
        <w:rPr>
          <w:rFonts w:ascii="Arial" w:cs="Arial" w:eastAsia="Arial" w:hAnsi="Arial"/>
          <w:sz w:val="15"/>
          <w:szCs w:val="15"/>
          <w:color w:val="auto"/>
        </w:rPr>
        <w:t xml:space="preserve">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QUARTERLY REPORT PURSUANT TO SECTION 13 OR 15(d) OF THE SECURITIES EXCHANGE ACT OF 1934</w:t>
      </w:r>
    </w:p>
    <w:p>
      <w:pPr>
        <w:spacing w:after="0" w:line="162" w:lineRule="exact"/>
        <w:rPr>
          <w:sz w:val="24"/>
          <w:szCs w:val="24"/>
          <w:color w:val="auto"/>
        </w:rPr>
      </w:pPr>
    </w:p>
    <w:p>
      <w:pPr>
        <w:ind w:left="4020"/>
        <w:spacing w:after="0"/>
        <w:rPr>
          <w:sz w:val="20"/>
          <w:szCs w:val="20"/>
          <w:color w:val="auto"/>
        </w:rPr>
      </w:pPr>
      <w:r>
        <w:rPr>
          <w:rFonts w:ascii="Arial" w:cs="Arial" w:eastAsia="Arial" w:hAnsi="Arial"/>
          <w:sz w:val="15"/>
          <w:szCs w:val="15"/>
          <w:b w:val="1"/>
          <w:bCs w:val="1"/>
          <w:color w:val="auto"/>
        </w:rPr>
        <w:t>For the quarterly period ended May 02, 2026</w:t>
      </w:r>
    </w:p>
    <w:p>
      <w:pPr>
        <w:spacing w:after="0" w:line="200" w:lineRule="exact"/>
        <w:rPr>
          <w:sz w:val="24"/>
          <w:szCs w:val="24"/>
          <w:color w:val="auto"/>
        </w:rPr>
      </w:pPr>
    </w:p>
    <w:p>
      <w:pPr>
        <w:ind w:left="500" w:hanging="481"/>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5"/>
          <w:szCs w:val="15"/>
          <w:color w:val="auto"/>
        </w:rPr>
        <w:t>TRANSITION REPORT PURSUANT TO SECTION 13 OR 15(d) OF THE SECURITIES EXCHANGE ACT OF 1934</w:t>
      </w:r>
    </w:p>
    <w:p>
      <w:pPr>
        <w:spacing w:after="0" w:line="244" w:lineRule="exact"/>
        <w:rPr>
          <w:sz w:val="24"/>
          <w:szCs w:val="24"/>
          <w:color w:val="auto"/>
        </w:rPr>
      </w:pPr>
    </w:p>
    <w:p>
      <w:pPr>
        <w:ind w:left="3660"/>
        <w:spacing w:after="0"/>
        <w:rPr>
          <w:sz w:val="20"/>
          <w:szCs w:val="20"/>
          <w:color w:val="auto"/>
        </w:rPr>
      </w:pPr>
      <w:r>
        <w:rPr>
          <w:rFonts w:ascii="Arial" w:cs="Arial" w:eastAsia="Arial" w:hAnsi="Arial"/>
          <w:sz w:val="15"/>
          <w:szCs w:val="15"/>
          <w:color w:val="auto"/>
        </w:rPr>
        <w:t>For the transition period from __________ to __________</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40" w:type="dxa"/>
            <w:vAlign w:val="bottom"/>
            <w:gridSpan w:val="6"/>
          </w:tcPr>
          <w:p>
            <w:pPr>
              <w:jc w:val="right"/>
              <w:ind w:right="3383"/>
              <w:spacing w:after="0"/>
              <w:rPr>
                <w:sz w:val="20"/>
                <w:szCs w:val="20"/>
                <w:color w:val="auto"/>
              </w:rPr>
            </w:pPr>
            <w:r>
              <w:rPr>
                <w:rFonts w:ascii="Arial" w:cs="Arial" w:eastAsia="Arial" w:hAnsi="Arial"/>
                <w:sz w:val="15"/>
                <w:szCs w:val="15"/>
                <w:b w:val="1"/>
                <w:bCs w:val="1"/>
                <w:color w:val="auto"/>
              </w:rPr>
              <w:t>Commission file number: 0-14678</w:t>
            </w:r>
          </w:p>
        </w:tc>
        <w:tc>
          <w:tcPr>
            <w:tcW w:w="0" w:type="dxa"/>
            <w:vAlign w:val="bottom"/>
          </w:tcPr>
          <w:p>
            <w:pPr>
              <w:spacing w:after="0"/>
              <w:rPr>
                <w:sz w:val="1"/>
                <w:szCs w:val="1"/>
                <w:color w:val="auto"/>
              </w:rPr>
            </w:pPr>
          </w:p>
        </w:tc>
      </w:tr>
      <w:tr>
        <w:trPr>
          <w:trHeight w:val="316"/>
        </w:trPr>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20" w:type="dxa"/>
            <w:vAlign w:val="bottom"/>
            <w:gridSpan w:val="3"/>
          </w:tcPr>
          <w:p>
            <w:pPr>
              <w:jc w:val="center"/>
              <w:ind w:left="30"/>
              <w:spacing w:after="0"/>
              <w:rPr>
                <w:sz w:val="20"/>
                <w:szCs w:val="20"/>
                <w:color w:val="auto"/>
              </w:rPr>
            </w:pPr>
            <w:r>
              <w:rPr>
                <w:rFonts w:ascii="Arial" w:cs="Arial" w:eastAsia="Arial" w:hAnsi="Arial"/>
                <w:sz w:val="20"/>
                <w:szCs w:val="20"/>
                <w:b w:val="1"/>
                <w:bCs w:val="1"/>
                <w:color w:val="auto"/>
              </w:rPr>
              <w:t>Ross Stores, Inc.</w:t>
            </w:r>
          </w:p>
        </w:tc>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140" w:type="dxa"/>
            <w:vAlign w:val="bottom"/>
            <w:gridSpan w:val="6"/>
          </w:tcPr>
          <w:p>
            <w:pPr>
              <w:jc w:val="center"/>
              <w:ind w:right="1923"/>
              <w:spacing w:after="0"/>
              <w:rPr>
                <w:sz w:val="20"/>
                <w:szCs w:val="20"/>
                <w:color w:val="auto"/>
              </w:rPr>
            </w:pPr>
            <w:r>
              <w:rPr>
                <w:rFonts w:ascii="Arial" w:cs="Arial" w:eastAsia="Arial" w:hAnsi="Arial"/>
                <w:sz w:val="15"/>
                <w:szCs w:val="15"/>
                <w:color w:val="auto"/>
              </w:rPr>
              <w:t>(Exact name of registrant as specified in its charter)</w:t>
            </w: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2740" w:type="dxa"/>
            <w:vAlign w:val="bottom"/>
            <w:gridSpan w:val="2"/>
          </w:tcPr>
          <w:p>
            <w:pPr>
              <w:jc w:val="center"/>
              <w:ind w:right="763"/>
              <w:spacing w:after="0"/>
              <w:rPr>
                <w:sz w:val="20"/>
                <w:szCs w:val="20"/>
                <w:color w:val="auto"/>
              </w:rPr>
            </w:pPr>
            <w:r>
              <w:rPr>
                <w:rFonts w:ascii="Arial" w:cs="Arial" w:eastAsia="Arial" w:hAnsi="Arial"/>
                <w:sz w:val="15"/>
                <w:szCs w:val="15"/>
                <w:b w:val="1"/>
                <w:bCs w:val="1"/>
                <w:color w:val="auto"/>
              </w:rPr>
              <w:t>Delaware</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20" w:type="dxa"/>
            <w:vAlign w:val="bottom"/>
            <w:gridSpan w:val="2"/>
          </w:tcPr>
          <w:p>
            <w:pPr>
              <w:jc w:val="right"/>
              <w:ind w:right="1803"/>
              <w:spacing w:after="0"/>
              <w:rPr>
                <w:sz w:val="20"/>
                <w:szCs w:val="20"/>
                <w:color w:val="auto"/>
              </w:rPr>
            </w:pPr>
            <w:r>
              <w:rPr>
                <w:rFonts w:ascii="Arial" w:cs="Arial" w:eastAsia="Arial" w:hAnsi="Arial"/>
                <w:sz w:val="15"/>
                <w:szCs w:val="15"/>
                <w:b w:val="1"/>
                <w:bCs w:val="1"/>
                <w:color w:val="auto"/>
              </w:rPr>
              <w:t>94-1390387</w:t>
            </w:r>
          </w:p>
        </w:tc>
        <w:tc>
          <w:tcPr>
            <w:tcW w:w="0" w:type="dxa"/>
            <w:vAlign w:val="bottom"/>
          </w:tcPr>
          <w:p>
            <w:pPr>
              <w:spacing w:after="0"/>
              <w:rPr>
                <w:sz w:val="1"/>
                <w:szCs w:val="1"/>
                <w:color w:val="auto"/>
              </w:rPr>
            </w:pPr>
          </w:p>
        </w:tc>
      </w:tr>
      <w:tr>
        <w:trPr>
          <w:trHeight w:val="201"/>
        </w:trPr>
        <w:tc>
          <w:tcPr>
            <w:tcW w:w="4560" w:type="dxa"/>
            <w:vAlign w:val="bottom"/>
            <w:gridSpan w:val="3"/>
          </w:tcPr>
          <w:p>
            <w:pPr>
              <w:jc w:val="center"/>
              <w:ind w:left="903"/>
              <w:spacing w:after="0"/>
              <w:rPr>
                <w:sz w:val="20"/>
                <w:szCs w:val="20"/>
                <w:color w:val="auto"/>
              </w:rPr>
            </w:pPr>
            <w:r>
              <w:rPr>
                <w:rFonts w:ascii="Arial" w:cs="Arial" w:eastAsia="Arial" w:hAnsi="Arial"/>
                <w:sz w:val="15"/>
                <w:szCs w:val="15"/>
                <w:color w:val="auto"/>
              </w:rPr>
              <w:t>(State or other jurisdiction of incorporation or</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gridSpan w:val="2"/>
          </w:tcPr>
          <w:p>
            <w:pPr>
              <w:jc w:val="center"/>
              <w:ind w:right="903"/>
              <w:spacing w:after="0"/>
              <w:rPr>
                <w:sz w:val="20"/>
                <w:szCs w:val="20"/>
                <w:color w:val="auto"/>
              </w:rPr>
            </w:pPr>
            <w:r>
              <w:rPr>
                <w:rFonts w:ascii="Arial" w:cs="Arial" w:eastAsia="Arial" w:hAnsi="Arial"/>
                <w:sz w:val="15"/>
                <w:szCs w:val="15"/>
                <w:color w:val="auto"/>
              </w:rPr>
              <w:t>(I.R.S. Employer Identification No.)</w:t>
            </w: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2740" w:type="dxa"/>
            <w:vAlign w:val="bottom"/>
            <w:gridSpan w:val="2"/>
          </w:tcPr>
          <w:p>
            <w:pPr>
              <w:jc w:val="center"/>
              <w:ind w:right="763"/>
              <w:spacing w:after="0"/>
              <w:rPr>
                <w:sz w:val="20"/>
                <w:szCs w:val="20"/>
                <w:color w:val="auto"/>
              </w:rPr>
            </w:pPr>
            <w:r>
              <w:rPr>
                <w:rFonts w:ascii="Arial" w:cs="Arial" w:eastAsia="Arial" w:hAnsi="Arial"/>
                <w:sz w:val="15"/>
                <w:szCs w:val="15"/>
                <w:color w:val="auto"/>
              </w:rPr>
              <w:t>organization)</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4560" w:type="dxa"/>
            <w:vAlign w:val="bottom"/>
            <w:gridSpan w:val="3"/>
          </w:tcPr>
          <w:p>
            <w:pPr>
              <w:ind w:left="1080"/>
              <w:spacing w:after="0"/>
              <w:rPr>
                <w:sz w:val="20"/>
                <w:szCs w:val="20"/>
                <w:color w:val="auto"/>
              </w:rPr>
            </w:pPr>
            <w:r>
              <w:rPr>
                <w:rFonts w:ascii="Arial" w:cs="Arial" w:eastAsia="Arial" w:hAnsi="Arial"/>
                <w:sz w:val="15"/>
                <w:szCs w:val="15"/>
                <w:b w:val="1"/>
                <w:bCs w:val="1"/>
                <w:color w:val="auto"/>
              </w:rPr>
              <w:t>5130 Hacienda Drive, Dublin,  California</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2"/>
          </w:tcPr>
          <w:p>
            <w:pPr>
              <w:jc w:val="right"/>
              <w:ind w:right="2003"/>
              <w:spacing w:after="0"/>
              <w:rPr>
                <w:sz w:val="20"/>
                <w:szCs w:val="20"/>
                <w:color w:val="auto"/>
              </w:rPr>
            </w:pPr>
            <w:r>
              <w:rPr>
                <w:rFonts w:ascii="Arial" w:cs="Arial" w:eastAsia="Arial" w:hAnsi="Arial"/>
                <w:sz w:val="15"/>
                <w:szCs w:val="15"/>
                <w:b w:val="1"/>
                <w:bCs w:val="1"/>
                <w:color w:val="auto"/>
              </w:rPr>
              <w:t>94568</w:t>
            </w:r>
          </w:p>
        </w:tc>
        <w:tc>
          <w:tcPr>
            <w:tcW w:w="0" w:type="dxa"/>
            <w:vAlign w:val="bottom"/>
          </w:tcPr>
          <w:p>
            <w:pPr>
              <w:spacing w:after="0"/>
              <w:rPr>
                <w:sz w:val="1"/>
                <w:szCs w:val="1"/>
                <w:color w:val="auto"/>
              </w:rPr>
            </w:pPr>
          </w:p>
        </w:tc>
      </w:tr>
      <w:tr>
        <w:trPr>
          <w:trHeight w:val="201"/>
        </w:trPr>
        <w:tc>
          <w:tcPr>
            <w:tcW w:w="4560" w:type="dxa"/>
            <w:vAlign w:val="bottom"/>
            <w:gridSpan w:val="3"/>
          </w:tcPr>
          <w:p>
            <w:pPr>
              <w:jc w:val="center"/>
              <w:ind w:left="903"/>
              <w:spacing w:after="0"/>
              <w:rPr>
                <w:sz w:val="20"/>
                <w:szCs w:val="20"/>
                <w:color w:val="auto"/>
              </w:rPr>
            </w:pPr>
            <w:r>
              <w:rPr>
                <w:rFonts w:ascii="Arial" w:cs="Arial" w:eastAsia="Arial" w:hAnsi="Arial"/>
                <w:sz w:val="15"/>
                <w:szCs w:val="15"/>
                <w:color w:val="auto"/>
              </w:rPr>
              <w:t>(Address of principal executive offices)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40" w:type="dxa"/>
            <w:vAlign w:val="bottom"/>
          </w:tcPr>
          <w:p>
            <w:pPr>
              <w:jc w:val="center"/>
              <w:ind w:right="1483"/>
              <w:spacing w:after="0"/>
              <w:rPr>
                <w:sz w:val="20"/>
                <w:szCs w:val="20"/>
                <w:color w:val="auto"/>
              </w:rPr>
            </w:pPr>
            <w:r>
              <w:rPr>
                <w:rFonts w:ascii="Arial" w:cs="Arial" w:eastAsia="Arial" w:hAnsi="Arial"/>
                <w:sz w:val="15"/>
                <w:szCs w:val="15"/>
                <w:color w:val="auto"/>
              </w:rPr>
              <w:t>(Zip Code)</w:t>
            </w:r>
          </w:p>
        </w:tc>
        <w:tc>
          <w:tcPr>
            <w:tcW w:w="0" w:type="dxa"/>
            <w:vAlign w:val="bottom"/>
          </w:tcPr>
          <w:p>
            <w:pPr>
              <w:spacing w:after="0"/>
              <w:rPr>
                <w:sz w:val="1"/>
                <w:szCs w:val="1"/>
                <w:color w:val="auto"/>
              </w:rPr>
            </w:pPr>
          </w:p>
        </w:tc>
      </w:tr>
      <w:tr>
        <w:trPr>
          <w:trHeight w:val="362"/>
        </w:trPr>
        <w:tc>
          <w:tcPr>
            <w:tcW w:w="4560" w:type="dxa"/>
            <w:vAlign w:val="bottom"/>
            <w:gridSpan w:val="3"/>
          </w:tcPr>
          <w:p>
            <w:pPr>
              <w:jc w:val="center"/>
              <w:ind w:left="923"/>
              <w:spacing w:after="0"/>
              <w:rPr>
                <w:sz w:val="20"/>
                <w:szCs w:val="20"/>
                <w:color w:val="auto"/>
              </w:rPr>
            </w:pPr>
            <w:r>
              <w:rPr>
                <w:rFonts w:ascii="Arial" w:cs="Arial" w:eastAsia="Arial" w:hAnsi="Arial"/>
                <w:sz w:val="15"/>
                <w:szCs w:val="15"/>
                <w:color w:val="auto"/>
              </w:rPr>
              <w:t>Registrant’s telephone number, including area</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2"/>
            <w:vMerge w:val="restart"/>
          </w:tcPr>
          <w:p>
            <w:pPr>
              <w:jc w:val="right"/>
              <w:ind w:right="1743"/>
              <w:spacing w:after="0"/>
              <w:rPr>
                <w:sz w:val="20"/>
                <w:szCs w:val="20"/>
                <w:color w:val="auto"/>
              </w:rPr>
            </w:pPr>
            <w:r>
              <w:rPr>
                <w:rFonts w:ascii="Arial" w:cs="Arial" w:eastAsia="Arial" w:hAnsi="Arial"/>
                <w:sz w:val="15"/>
                <w:szCs w:val="15"/>
                <w:b w:val="1"/>
                <w:bCs w:val="1"/>
                <w:color w:val="auto"/>
              </w:rPr>
              <w:t>(925) 965-4400</w:t>
            </w: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2740" w:type="dxa"/>
            <w:vAlign w:val="bottom"/>
            <w:gridSpan w:val="2"/>
          </w:tcPr>
          <w:p>
            <w:pPr>
              <w:jc w:val="center"/>
              <w:ind w:right="763"/>
              <w:spacing w:after="0"/>
              <w:rPr>
                <w:sz w:val="20"/>
                <w:szCs w:val="20"/>
                <w:color w:val="auto"/>
              </w:rPr>
            </w:pPr>
            <w:r>
              <w:rPr>
                <w:rFonts w:ascii="Arial" w:cs="Arial" w:eastAsia="Arial" w:hAnsi="Arial"/>
                <w:sz w:val="15"/>
                <w:szCs w:val="15"/>
                <w:color w:val="auto"/>
              </w:rPr>
              <w:t>code</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456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Title of each class</w:t>
            </w:r>
          </w:p>
        </w:tc>
        <w:tc>
          <w:tcPr>
            <w:tcW w:w="1500" w:type="dxa"/>
            <w:vAlign w:val="bottom"/>
          </w:tcPr>
          <w:p>
            <w:pPr>
              <w:spacing w:after="0"/>
              <w:rPr>
                <w:sz w:val="24"/>
                <w:szCs w:val="24"/>
                <w:color w:val="auto"/>
              </w:rPr>
            </w:pPr>
          </w:p>
        </w:tc>
        <w:tc>
          <w:tcPr>
            <w:tcW w:w="2020" w:type="dxa"/>
            <w:vAlign w:val="bottom"/>
            <w:gridSpan w:val="3"/>
          </w:tcPr>
          <w:p>
            <w:pPr>
              <w:jc w:val="center"/>
              <w:ind w:right="20"/>
              <w:spacing w:after="0"/>
              <w:rPr>
                <w:sz w:val="20"/>
                <w:szCs w:val="20"/>
                <w:color w:val="auto"/>
              </w:rPr>
            </w:pPr>
            <w:r>
              <w:rPr>
                <w:rFonts w:ascii="Arial" w:cs="Arial" w:eastAsia="Arial" w:hAnsi="Arial"/>
                <w:sz w:val="15"/>
                <w:szCs w:val="15"/>
                <w:color w:val="auto"/>
              </w:rPr>
              <w:t>Trading symbol</w:t>
            </w:r>
          </w:p>
        </w:tc>
        <w:tc>
          <w:tcPr>
            <w:tcW w:w="5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5"/>
                <w:szCs w:val="15"/>
                <w:color w:val="auto"/>
              </w:rPr>
              <w:t>Name of each exchange on which registered</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60" w:type="dxa"/>
            <w:vAlign w:val="bottom"/>
            <w:gridSpan w:val="3"/>
          </w:tcPr>
          <w:p>
            <w:pPr>
              <w:ind w:left="1240"/>
              <w:spacing w:after="0"/>
              <w:rPr>
                <w:sz w:val="20"/>
                <w:szCs w:val="20"/>
                <w:color w:val="auto"/>
              </w:rPr>
            </w:pPr>
            <w:r>
              <w:rPr>
                <w:rFonts w:ascii="Arial" w:cs="Arial" w:eastAsia="Arial" w:hAnsi="Arial"/>
                <w:sz w:val="15"/>
                <w:szCs w:val="15"/>
                <w:b w:val="1"/>
                <w:bCs w:val="1"/>
                <w:color w:val="auto"/>
              </w:rPr>
              <w:t>Common Stock, par value $.01</w:t>
            </w:r>
          </w:p>
        </w:tc>
        <w:tc>
          <w:tcPr>
            <w:tcW w:w="480" w:type="dxa"/>
            <w:vAlign w:val="bottom"/>
          </w:tcPr>
          <w:p>
            <w:pPr>
              <w:spacing w:after="0"/>
              <w:rPr>
                <w:sz w:val="19"/>
                <w:szCs w:val="19"/>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rPr>
              <w:t>ROST</w:t>
            </w:r>
          </w:p>
        </w:tc>
        <w:tc>
          <w:tcPr>
            <w:tcW w:w="58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5"/>
                <w:szCs w:val="15"/>
                <w:b w:val="1"/>
                <w:bCs w:val="1"/>
                <w:color w:val="auto"/>
              </w:rPr>
              <w:t>Nasdaq Global Select Market</w:t>
            </w:r>
          </w:p>
        </w:tc>
        <w:tc>
          <w:tcPr>
            <w:tcW w:w="0" w:type="dxa"/>
            <w:vAlign w:val="bottom"/>
          </w:tcPr>
          <w:p>
            <w:pPr>
              <w:spacing w:after="0"/>
              <w:rPr>
                <w:sz w:val="1"/>
                <w:szCs w:val="1"/>
                <w:color w:val="auto"/>
              </w:rPr>
            </w:pPr>
          </w:p>
        </w:tc>
      </w:tr>
    </w:tbl>
    <w:p>
      <w:pPr>
        <w:spacing w:after="0" w:line="303" w:lineRule="exact"/>
        <w:rPr>
          <w:sz w:val="24"/>
          <w:szCs w:val="24"/>
          <w:color w:val="auto"/>
        </w:rPr>
      </w:pPr>
    </w:p>
    <w:p>
      <w:pPr>
        <w:jc w:val="both"/>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58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6" w:lineRule="exact"/>
        <w:rPr>
          <w:sz w:val="24"/>
          <w:szCs w:val="24"/>
          <w:color w:val="auto"/>
        </w:rPr>
      </w:pPr>
    </w:p>
    <w:p>
      <w:pPr>
        <w:ind w:right="80"/>
        <w:spacing w:after="0" w:line="25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0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5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5" w:lineRule="exact"/>
        <w:rPr>
          <w:sz w:val="24"/>
          <w:szCs w:val="24"/>
          <w:color w:val="auto"/>
        </w:rPr>
      </w:pPr>
    </w:p>
    <w:p>
      <w:pPr>
        <w:ind w:right="4180"/>
        <w:spacing w:after="0" w:line="246"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Non-accelerated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7"/>
          <w:szCs w:val="17"/>
          <w:color w:val="auto"/>
        </w:rPr>
        <w:t>☐</w:t>
      </w:r>
    </w:p>
    <w:p>
      <w:pPr>
        <w:spacing w:after="0" w:line="192"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7"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Common Stock, with $.01 par value, outstanding on May 15, 2026 was 320,781,076.</w:t>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Ross Stores,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620" w:type="dxa"/>
            <w:vAlign w:val="bottom"/>
            <w:gridSpan w:val="18"/>
            <w:vMerge w:val="restart"/>
          </w:tcPr>
          <w:p>
            <w:pPr>
              <w:spacing w:after="0"/>
              <w:rPr>
                <w:sz w:val="20"/>
                <w:szCs w:val="20"/>
                <w:color w:val="auto"/>
              </w:rPr>
            </w:pPr>
            <w:r>
              <w:rPr>
                <w:rFonts w:ascii="Arial" w:cs="Arial" w:eastAsia="Arial" w:hAnsi="Arial"/>
                <w:sz w:val="17"/>
                <w:szCs w:val="17"/>
                <w:color w:val="0000FF"/>
              </w:rPr>
              <w:t>PART I. FINANCIAL INFORMATION</w:t>
            </w:r>
          </w:p>
        </w:tc>
        <w:tc>
          <w:tcPr>
            <w:tcW w:w="60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61"/>
        </w:trPr>
        <w:tc>
          <w:tcPr>
            <w:tcW w:w="10620" w:type="dxa"/>
            <w:vAlign w:val="bottom"/>
            <w:gridSpan w:val="18"/>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1.</w:t>
            </w:r>
          </w:p>
        </w:tc>
        <w:tc>
          <w:tcPr>
            <w:tcW w:w="9760" w:type="dxa"/>
            <w:vAlign w:val="bottom"/>
            <w:gridSpan w:val="17"/>
          </w:tcPr>
          <w:p>
            <w:pPr>
              <w:spacing w:after="0"/>
              <w:rPr>
                <w:sz w:val="20"/>
                <w:szCs w:val="20"/>
                <w:color w:val="auto"/>
              </w:rPr>
            </w:pPr>
            <w:r>
              <w:rPr>
                <w:rFonts w:ascii="Arial" w:cs="Arial" w:eastAsia="Arial" w:hAnsi="Arial"/>
                <w:sz w:val="15"/>
                <w:szCs w:val="15"/>
                <w:color w:val="0000FF"/>
              </w:rPr>
              <w:t>Financial Statements (unaudited)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gridSpan w:val="2"/>
            <w:vMerge w:val="restart"/>
          </w:tcPr>
          <w:p>
            <w:pPr>
              <w:jc w:val="center"/>
              <w:ind w:left="183"/>
              <w:spacing w:after="0"/>
              <w:rPr>
                <w:sz w:val="20"/>
                <w:szCs w:val="20"/>
                <w:color w:val="auto"/>
              </w:rPr>
            </w:pPr>
            <w:r>
              <w:rPr>
                <w:rFonts w:ascii="Arial" w:cs="Arial" w:eastAsia="Arial" w:hAnsi="Arial"/>
                <w:sz w:val="15"/>
                <w:szCs w:val="15"/>
                <w:color w:val="0000FF"/>
                <w:w w:val="95"/>
              </w:rPr>
              <w:t>3</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5"/>
                <w:szCs w:val="15"/>
                <w:color w:val="0000FF"/>
              </w:rPr>
              <w:t>Condensed Consolidated Statements of Earnings</w:t>
            </w:r>
          </w:p>
        </w:tc>
        <w:tc>
          <w:tcPr>
            <w:tcW w:w="3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60" w:type="dxa"/>
            <w:vAlign w:val="bottom"/>
          </w:tcPr>
          <w:p>
            <w:pPr>
              <w:spacing w:after="0"/>
              <w:rPr>
                <w:sz w:val="24"/>
                <w:szCs w:val="24"/>
                <w:color w:val="auto"/>
              </w:rPr>
            </w:pP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5"/>
                <w:szCs w:val="15"/>
                <w:color w:val="0000FF"/>
              </w:rPr>
              <w:t>Condensed Consolidated Statements of Comprehensive Income</w:t>
            </w:r>
          </w:p>
        </w:tc>
        <w:tc>
          <w:tcPr>
            <w:tcW w:w="5380" w:type="dxa"/>
            <w:vAlign w:val="bottom"/>
            <w:gridSpan w:val="2"/>
          </w:tcPr>
          <w:p>
            <w:pPr>
              <w:spacing w:after="0"/>
              <w:rPr>
                <w:sz w:val="24"/>
                <w:szCs w:val="24"/>
                <w:color w:val="auto"/>
              </w:rPr>
            </w:pPr>
          </w:p>
        </w:tc>
        <w:tc>
          <w:tcPr>
            <w:tcW w:w="340" w:type="dxa"/>
            <w:vAlign w:val="bottom"/>
            <w:gridSpan w:val="2"/>
          </w:tcPr>
          <w:p>
            <w:pPr>
              <w:jc w:val="center"/>
              <w:ind w:left="183"/>
              <w:spacing w:after="0"/>
              <w:rPr>
                <w:sz w:val="20"/>
                <w:szCs w:val="20"/>
                <w:color w:val="auto"/>
              </w:rPr>
            </w:pPr>
            <w:r>
              <w:rPr>
                <w:rFonts w:ascii="Arial" w:cs="Arial" w:eastAsia="Arial" w:hAnsi="Arial"/>
                <w:sz w:val="15"/>
                <w:szCs w:val="15"/>
                <w:color w:val="0000FF"/>
                <w:w w:val="95"/>
              </w:rPr>
              <w:t>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860" w:type="dxa"/>
            <w:vAlign w:val="bottom"/>
          </w:tcPr>
          <w:p>
            <w:pPr>
              <w:spacing w:after="0"/>
              <w:rPr>
                <w:sz w:val="24"/>
                <w:szCs w:val="24"/>
                <w:color w:val="auto"/>
              </w:rPr>
            </w:pPr>
          </w:p>
        </w:tc>
        <w:tc>
          <w:tcPr>
            <w:tcW w:w="2840" w:type="dxa"/>
            <w:vAlign w:val="bottom"/>
            <w:gridSpan w:val="8"/>
          </w:tcPr>
          <w:p>
            <w:pPr>
              <w:spacing w:after="0"/>
              <w:rPr>
                <w:sz w:val="20"/>
                <w:szCs w:val="20"/>
                <w:color w:val="auto"/>
              </w:rPr>
            </w:pPr>
            <w:r>
              <w:rPr>
                <w:rFonts w:ascii="Arial" w:cs="Arial" w:eastAsia="Arial" w:hAnsi="Arial"/>
                <w:sz w:val="15"/>
                <w:szCs w:val="15"/>
                <w:color w:val="0000FF"/>
              </w:rPr>
              <w:t>Condensed Consolidated Balance Sheets</w:t>
            </w:r>
          </w:p>
        </w:tc>
        <w:tc>
          <w:tcPr>
            <w:tcW w:w="6920" w:type="dxa"/>
            <w:vAlign w:val="bottom"/>
            <w:gridSpan w:val="9"/>
          </w:tcPr>
          <w:p>
            <w:pPr>
              <w:spacing w:after="0"/>
              <w:rPr>
                <w:sz w:val="24"/>
                <w:szCs w:val="24"/>
                <w:color w:val="auto"/>
              </w:rPr>
            </w:pPr>
          </w:p>
        </w:tc>
        <w:tc>
          <w:tcPr>
            <w:tcW w:w="340" w:type="dxa"/>
            <w:vAlign w:val="bottom"/>
            <w:gridSpan w:val="2"/>
          </w:tcPr>
          <w:p>
            <w:pPr>
              <w:jc w:val="center"/>
              <w:ind w:left="183"/>
              <w:spacing w:after="0"/>
              <w:rPr>
                <w:sz w:val="20"/>
                <w:szCs w:val="20"/>
                <w:color w:val="auto"/>
              </w:rPr>
            </w:pPr>
            <w:r>
              <w:rPr>
                <w:rFonts w:ascii="Arial" w:cs="Arial" w:eastAsia="Arial" w:hAnsi="Arial"/>
                <w:sz w:val="15"/>
                <w:szCs w:val="15"/>
                <w:color w:val="0000FF"/>
                <w:w w:val="95"/>
              </w:rPr>
              <w:t>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5"/>
                <w:szCs w:val="15"/>
                <w:color w:val="0000FF"/>
              </w:rPr>
              <w:t>Condensed Consolidated Statements of Stockholders’ Equity</w:t>
            </w:r>
          </w:p>
        </w:tc>
        <w:tc>
          <w:tcPr>
            <w:tcW w:w="340" w:type="dxa"/>
            <w:vAlign w:val="bottom"/>
            <w:gridSpan w:val="2"/>
          </w:tcPr>
          <w:p>
            <w:pPr>
              <w:jc w:val="center"/>
              <w:ind w:left="183"/>
              <w:spacing w:after="0"/>
              <w:rPr>
                <w:sz w:val="20"/>
                <w:szCs w:val="20"/>
                <w:color w:val="auto"/>
              </w:rPr>
            </w:pPr>
            <w:r>
              <w:rPr>
                <w:rFonts w:ascii="Arial" w:cs="Arial" w:eastAsia="Arial" w:hAnsi="Arial"/>
                <w:sz w:val="15"/>
                <w:szCs w:val="15"/>
                <w:color w:val="0000FF"/>
                <w:w w:val="95"/>
              </w:rPr>
              <w:t>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5"/>
                <w:szCs w:val="15"/>
                <w:color w:val="0000FF"/>
              </w:rPr>
              <w:t>Condensed Consolidated Statements of Cash Flows</w:t>
            </w:r>
          </w:p>
        </w:tc>
        <w:tc>
          <w:tcPr>
            <w:tcW w:w="580" w:type="dxa"/>
            <w:vAlign w:val="bottom"/>
            <w:gridSpan w:val="4"/>
          </w:tcPr>
          <w:p>
            <w:pPr>
              <w:spacing w:after="0"/>
              <w:rPr>
                <w:sz w:val="24"/>
                <w:szCs w:val="24"/>
                <w:color w:val="auto"/>
              </w:rPr>
            </w:pPr>
          </w:p>
        </w:tc>
        <w:tc>
          <w:tcPr>
            <w:tcW w:w="5620" w:type="dxa"/>
            <w:vAlign w:val="bottom"/>
            <w:gridSpan w:val="3"/>
          </w:tcPr>
          <w:p>
            <w:pPr>
              <w:spacing w:after="0"/>
              <w:rPr>
                <w:sz w:val="24"/>
                <w:szCs w:val="24"/>
                <w:color w:val="auto"/>
              </w:rPr>
            </w:pPr>
          </w:p>
        </w:tc>
        <w:tc>
          <w:tcPr>
            <w:tcW w:w="340" w:type="dxa"/>
            <w:vAlign w:val="bottom"/>
            <w:gridSpan w:val="2"/>
          </w:tcPr>
          <w:p>
            <w:pPr>
              <w:jc w:val="center"/>
              <w:ind w:left="183"/>
              <w:spacing w:after="0"/>
              <w:rPr>
                <w:sz w:val="20"/>
                <w:szCs w:val="20"/>
                <w:color w:val="auto"/>
              </w:rPr>
            </w:pPr>
            <w:r>
              <w:rPr>
                <w:rFonts w:ascii="Arial" w:cs="Arial" w:eastAsia="Arial" w:hAnsi="Arial"/>
                <w:sz w:val="15"/>
                <w:szCs w:val="15"/>
                <w:color w:val="0000FF"/>
                <w:w w:val="95"/>
              </w:rPr>
              <w:t>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3820" w:type="dxa"/>
            <w:vAlign w:val="bottom"/>
            <w:gridSpan w:val="11"/>
          </w:tcPr>
          <w:p>
            <w:pPr>
              <w:spacing w:after="0"/>
              <w:rPr>
                <w:sz w:val="20"/>
                <w:szCs w:val="20"/>
                <w:color w:val="auto"/>
              </w:rPr>
            </w:pPr>
            <w:r>
              <w:rPr>
                <w:rFonts w:ascii="Arial" w:cs="Arial" w:eastAsia="Arial" w:hAnsi="Arial"/>
                <w:sz w:val="15"/>
                <w:szCs w:val="15"/>
                <w:color w:val="0000FF"/>
              </w:rPr>
              <w:t>Notes to Condensed Consolidated Financial Statements</w:t>
            </w:r>
          </w:p>
        </w:tc>
        <w:tc>
          <w:tcPr>
            <w:tcW w:w="5940" w:type="dxa"/>
            <w:vAlign w:val="bottom"/>
            <w:gridSpan w:val="6"/>
          </w:tcPr>
          <w:p>
            <w:pPr>
              <w:spacing w:after="0"/>
              <w:rPr>
                <w:sz w:val="24"/>
                <w:szCs w:val="24"/>
                <w:color w:val="auto"/>
              </w:rPr>
            </w:pPr>
          </w:p>
        </w:tc>
        <w:tc>
          <w:tcPr>
            <w:tcW w:w="340" w:type="dxa"/>
            <w:vAlign w:val="bottom"/>
            <w:gridSpan w:val="2"/>
          </w:tcPr>
          <w:p>
            <w:pPr>
              <w:jc w:val="center"/>
              <w:ind w:left="183"/>
              <w:spacing w:after="0"/>
              <w:rPr>
                <w:sz w:val="20"/>
                <w:szCs w:val="20"/>
                <w:color w:val="auto"/>
              </w:rPr>
            </w:pPr>
            <w:r>
              <w:rPr>
                <w:rFonts w:ascii="Arial" w:cs="Arial" w:eastAsia="Arial" w:hAnsi="Arial"/>
                <w:sz w:val="15"/>
                <w:szCs w:val="15"/>
                <w:color w:val="0000FF"/>
                <w:w w:val="95"/>
              </w:rPr>
              <w:t>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5"/>
                <w:szCs w:val="15"/>
                <w:color w:val="0000FF"/>
              </w:rPr>
              <w:t>Report of Independent Registered Public Accounting Firm</w:t>
            </w: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17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2.</w:t>
            </w:r>
          </w:p>
        </w:tc>
        <w:tc>
          <w:tcPr>
            <w:tcW w:w="6040" w:type="dxa"/>
            <w:vAlign w:val="bottom"/>
            <w:gridSpan w:val="16"/>
          </w:tcPr>
          <w:p>
            <w:pPr>
              <w:spacing w:after="0"/>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3720" w:type="dxa"/>
            <w:vAlign w:val="bottom"/>
          </w:tcPr>
          <w:p>
            <w:pPr>
              <w:spacing w:after="0"/>
              <w:rPr>
                <w:sz w:val="24"/>
                <w:szCs w:val="24"/>
                <w:color w:val="auto"/>
              </w:rPr>
            </w:pP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18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3.</w:t>
            </w:r>
          </w:p>
        </w:tc>
        <w:tc>
          <w:tcPr>
            <w:tcW w:w="4020" w:type="dxa"/>
            <w:vAlign w:val="bottom"/>
            <w:gridSpan w:val="13"/>
          </w:tcPr>
          <w:p>
            <w:pPr>
              <w:spacing w:after="0"/>
              <w:rPr>
                <w:sz w:val="20"/>
                <w:szCs w:val="20"/>
                <w:color w:val="auto"/>
              </w:rPr>
            </w:pPr>
            <w:r>
              <w:rPr>
                <w:rFonts w:ascii="Arial" w:cs="Arial" w:eastAsia="Arial" w:hAnsi="Arial"/>
                <w:sz w:val="15"/>
                <w:szCs w:val="15"/>
                <w:color w:val="0000FF"/>
              </w:rPr>
              <w:t>Quantitative and Qualitative Disclosures About Market Risk</w:t>
            </w:r>
          </w:p>
        </w:tc>
        <w:tc>
          <w:tcPr>
            <w:tcW w:w="2020" w:type="dxa"/>
            <w:vAlign w:val="bottom"/>
            <w:gridSpan w:val="3"/>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4.</w:t>
            </w:r>
          </w:p>
        </w:tc>
        <w:tc>
          <w:tcPr>
            <w:tcW w:w="1700" w:type="dxa"/>
            <w:vAlign w:val="bottom"/>
            <w:gridSpan w:val="5"/>
          </w:tcPr>
          <w:p>
            <w:pPr>
              <w:spacing w:after="0"/>
              <w:rPr>
                <w:sz w:val="20"/>
                <w:szCs w:val="20"/>
                <w:color w:val="auto"/>
              </w:rPr>
            </w:pPr>
            <w:r>
              <w:rPr>
                <w:rFonts w:ascii="Arial" w:cs="Arial" w:eastAsia="Arial" w:hAnsi="Arial"/>
                <w:sz w:val="15"/>
                <w:szCs w:val="15"/>
                <w:color w:val="0000FF"/>
              </w:rPr>
              <w:t>Controls and Procedures</w:t>
            </w:r>
          </w:p>
        </w:tc>
        <w:tc>
          <w:tcPr>
            <w:tcW w:w="2320" w:type="dxa"/>
            <w:vAlign w:val="bottom"/>
            <w:gridSpan w:val="8"/>
          </w:tcPr>
          <w:p>
            <w:pPr>
              <w:spacing w:after="0"/>
              <w:rPr>
                <w:sz w:val="24"/>
                <w:szCs w:val="24"/>
                <w:color w:val="auto"/>
              </w:rPr>
            </w:pPr>
          </w:p>
        </w:tc>
        <w:tc>
          <w:tcPr>
            <w:tcW w:w="5740" w:type="dxa"/>
            <w:vAlign w:val="bottom"/>
            <w:gridSpan w:val="4"/>
          </w:tcPr>
          <w:p>
            <w:pPr>
              <w:spacing w:after="0"/>
              <w:rPr>
                <w:sz w:val="24"/>
                <w:szCs w:val="24"/>
                <w:color w:val="auto"/>
              </w:rPr>
            </w:pP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9"/>
              </w:rPr>
              <w:t>PART II. OTHER INFORMATION</w:t>
            </w:r>
          </w:p>
        </w:tc>
        <w:tc>
          <w:tcPr>
            <w:tcW w:w="806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1.</w:t>
            </w:r>
          </w:p>
        </w:tc>
        <w:tc>
          <w:tcPr>
            <w:tcW w:w="9760" w:type="dxa"/>
            <w:vAlign w:val="bottom"/>
            <w:gridSpan w:val="17"/>
          </w:tcPr>
          <w:p>
            <w:pPr>
              <w:spacing w:after="0"/>
              <w:rPr>
                <w:sz w:val="20"/>
                <w:szCs w:val="20"/>
                <w:color w:val="auto"/>
              </w:rPr>
            </w:pPr>
            <w:r>
              <w:rPr>
                <w:rFonts w:ascii="Arial" w:cs="Arial" w:eastAsia="Arial" w:hAnsi="Arial"/>
                <w:sz w:val="15"/>
                <w:szCs w:val="15"/>
                <w:color w:val="0000FF"/>
              </w:rPr>
              <w:t>Legal Proceedings</w:t>
            </w: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1A.</w:t>
            </w:r>
          </w:p>
        </w:tc>
        <w:tc>
          <w:tcPr>
            <w:tcW w:w="1260" w:type="dxa"/>
            <w:vAlign w:val="bottom"/>
            <w:gridSpan w:val="4"/>
          </w:tcPr>
          <w:p>
            <w:pPr>
              <w:spacing w:after="0"/>
              <w:rPr>
                <w:sz w:val="20"/>
                <w:szCs w:val="20"/>
                <w:color w:val="auto"/>
              </w:rPr>
            </w:pPr>
            <w:r>
              <w:rPr>
                <w:rFonts w:ascii="Arial" w:cs="Arial" w:eastAsia="Arial" w:hAnsi="Arial"/>
                <w:sz w:val="15"/>
                <w:szCs w:val="15"/>
                <w:color w:val="0000FF"/>
              </w:rPr>
              <w:t>Risk Factors</w:t>
            </w:r>
          </w:p>
        </w:tc>
        <w:tc>
          <w:tcPr>
            <w:tcW w:w="8500" w:type="dxa"/>
            <w:vAlign w:val="bottom"/>
            <w:gridSpan w:val="13"/>
          </w:tcPr>
          <w:p>
            <w:pPr>
              <w:spacing w:after="0"/>
              <w:rPr>
                <w:sz w:val="24"/>
                <w:szCs w:val="24"/>
                <w:color w:val="auto"/>
              </w:rPr>
            </w:pP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2.</w:t>
            </w:r>
          </w:p>
        </w:tc>
        <w:tc>
          <w:tcPr>
            <w:tcW w:w="9760" w:type="dxa"/>
            <w:vAlign w:val="bottom"/>
            <w:gridSpan w:val="17"/>
          </w:tcPr>
          <w:p>
            <w:pPr>
              <w:spacing w:after="0"/>
              <w:rPr>
                <w:sz w:val="20"/>
                <w:szCs w:val="20"/>
                <w:color w:val="auto"/>
              </w:rPr>
            </w:pPr>
            <w:r>
              <w:rPr>
                <w:rFonts w:ascii="Arial" w:cs="Arial" w:eastAsia="Arial" w:hAnsi="Arial"/>
                <w:sz w:val="15"/>
                <w:szCs w:val="15"/>
                <w:color w:val="0000FF"/>
              </w:rPr>
              <w:t>Unregistered Sales of Equity Securities and Use of Proceeds</w:t>
            </w: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20" w:type="dxa"/>
            <w:vAlign w:val="bottom"/>
            <w:gridSpan w:val="15"/>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60" w:type="dxa"/>
            <w:vAlign w:val="bottom"/>
          </w:tcPr>
          <w:p>
            <w:pPr>
              <w:spacing w:after="0"/>
              <w:rPr>
                <w:sz w:val="20"/>
                <w:szCs w:val="20"/>
                <w:color w:val="auto"/>
              </w:rPr>
            </w:pPr>
            <w:r>
              <w:rPr>
                <w:rFonts w:ascii="Arial" w:cs="Arial" w:eastAsia="Arial" w:hAnsi="Arial"/>
                <w:sz w:val="15"/>
                <w:szCs w:val="15"/>
                <w:color w:val="auto"/>
              </w:rPr>
              <w:t>Item 6.</w:t>
            </w:r>
          </w:p>
        </w:tc>
        <w:tc>
          <w:tcPr>
            <w:tcW w:w="540" w:type="dxa"/>
            <w:vAlign w:val="bottom"/>
            <w:gridSpan w:val="2"/>
          </w:tcPr>
          <w:p>
            <w:pPr>
              <w:spacing w:after="0"/>
              <w:rPr>
                <w:sz w:val="20"/>
                <w:szCs w:val="20"/>
                <w:color w:val="auto"/>
              </w:rPr>
            </w:pPr>
            <w:r>
              <w:rPr>
                <w:rFonts w:ascii="Arial" w:cs="Arial" w:eastAsia="Arial" w:hAnsi="Arial"/>
                <w:sz w:val="15"/>
                <w:szCs w:val="15"/>
                <w:color w:val="0000FF"/>
                <w:w w:val="98"/>
              </w:rPr>
              <w:t>Exhibits</w:t>
            </w:r>
          </w:p>
        </w:tc>
        <w:tc>
          <w:tcPr>
            <w:tcW w:w="9220" w:type="dxa"/>
            <w:vAlign w:val="bottom"/>
            <w:gridSpan w:val="15"/>
          </w:tcPr>
          <w:p>
            <w:pPr>
              <w:spacing w:after="0"/>
              <w:rPr>
                <w:sz w:val="24"/>
                <w:szCs w:val="24"/>
                <w:color w:val="auto"/>
              </w:rPr>
            </w:pP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0620" w:type="dxa"/>
            <w:vAlign w:val="bottom"/>
            <w:gridSpan w:val="18"/>
          </w:tcPr>
          <w:p>
            <w:pPr>
              <w:spacing w:after="0"/>
              <w:rPr>
                <w:sz w:val="20"/>
                <w:szCs w:val="20"/>
                <w:color w:val="auto"/>
              </w:rPr>
            </w:pPr>
            <w:r>
              <w:rPr>
                <w:rFonts w:ascii="Arial" w:cs="Arial" w:eastAsia="Arial" w:hAnsi="Arial"/>
                <w:sz w:val="17"/>
                <w:szCs w:val="17"/>
                <w:color w:val="0000FF"/>
              </w:rPr>
              <w:t>SIGNATURE</w:t>
            </w:r>
          </w:p>
        </w:tc>
        <w:tc>
          <w:tcPr>
            <w:tcW w:w="340" w:type="dxa"/>
            <w:vAlign w:val="bottom"/>
            <w:gridSpan w:val="2"/>
          </w:tcPr>
          <w:p>
            <w:pPr>
              <w:jc w:val="center"/>
              <w:ind w:left="103"/>
              <w:spacing w:after="0"/>
              <w:rPr>
                <w:sz w:val="20"/>
                <w:szCs w:val="20"/>
                <w:color w:val="auto"/>
              </w:rPr>
            </w:pPr>
            <w:r>
              <w:rPr>
                <w:rFonts w:ascii="Arial" w:cs="Arial" w:eastAsia="Arial" w:hAnsi="Arial"/>
                <w:sz w:val="15"/>
                <w:szCs w:val="15"/>
                <w:color w:val="0000FF"/>
                <w:w w:val="95"/>
              </w:rPr>
              <w:t>28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68580</wp:posOffset>
            </wp:positionV>
            <wp:extent cx="716470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4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Earnings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 except per share data, unaudited)</w:t>
            </w:r>
          </w:p>
        </w:tc>
        <w:tc>
          <w:tcPr>
            <w:tcW w:w="50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6,010,476</w:t>
            </w:r>
          </w:p>
        </w:tc>
        <w:tc>
          <w:tcPr>
            <w:tcW w:w="90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4,984,971</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20"/>
              <w:spacing w:after="0"/>
              <w:rPr>
                <w:sz w:val="20"/>
                <w:szCs w:val="20"/>
                <w:color w:val="auto"/>
              </w:rPr>
            </w:pPr>
            <w:r>
              <w:rPr>
                <w:rFonts w:ascii="Arial" w:cs="Arial" w:eastAsia="Arial" w:hAnsi="Arial"/>
                <w:sz w:val="17"/>
                <w:szCs w:val="17"/>
                <w:color w:val="auto"/>
              </w:rPr>
              <w:t>Cost of goods sold</w:t>
            </w:r>
          </w:p>
        </w:tc>
        <w:tc>
          <w:tcPr>
            <w:tcW w:w="50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4,230,589</w:t>
            </w:r>
          </w:p>
        </w:tc>
        <w:tc>
          <w:tcPr>
            <w:tcW w:w="9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3,581,366</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975,861</w:t>
            </w:r>
          </w:p>
        </w:tc>
        <w:tc>
          <w:tcPr>
            <w:tcW w:w="9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797,135</w:t>
            </w:r>
          </w:p>
        </w:tc>
        <w:tc>
          <w:tcPr>
            <w:tcW w:w="0" w:type="dxa"/>
            <w:vAlign w:val="bottom"/>
          </w:tcPr>
          <w:p>
            <w:pPr>
              <w:spacing w:after="0"/>
              <w:rPr>
                <w:sz w:val="1"/>
                <w:szCs w:val="1"/>
                <w:color w:val="auto"/>
              </w:rPr>
            </w:pPr>
          </w:p>
        </w:tc>
      </w:tr>
      <w:tr>
        <w:trPr>
          <w:trHeight w:val="236"/>
        </w:trPr>
        <w:tc>
          <w:tcPr>
            <w:tcW w:w="7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804,026</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606,470</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income, net</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(33,449)</w:t>
            </w: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(34,409)</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837,475</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640,879</w:t>
            </w:r>
          </w:p>
        </w:tc>
        <w:tc>
          <w:tcPr>
            <w:tcW w:w="0" w:type="dxa"/>
            <w:vAlign w:val="bottom"/>
          </w:tcPr>
          <w:p>
            <w:pPr>
              <w:spacing w:after="0"/>
              <w:rPr>
                <w:sz w:val="1"/>
                <w:szCs w:val="1"/>
                <w:color w:val="auto"/>
              </w:rPr>
            </w:pPr>
          </w:p>
        </w:tc>
      </w:tr>
      <w:tr>
        <w:trPr>
          <w:trHeight w:val="21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taxes on earnings</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187,511</w:t>
            </w: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161,630</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649,964</w:t>
            </w:r>
          </w:p>
        </w:tc>
        <w:tc>
          <w:tcPr>
            <w:tcW w:w="9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479,249</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20"/>
              <w:spacing w:after="0"/>
              <w:rPr>
                <w:sz w:val="20"/>
                <w:szCs w:val="20"/>
                <w:color w:val="auto"/>
              </w:rPr>
            </w:pPr>
            <w:r>
              <w:rPr>
                <w:rFonts w:ascii="Arial" w:cs="Arial" w:eastAsia="Arial" w:hAnsi="Arial"/>
                <w:sz w:val="17"/>
                <w:szCs w:val="17"/>
                <w:color w:val="auto"/>
              </w:rPr>
              <w:t>Basic</w:t>
            </w:r>
          </w:p>
        </w:tc>
        <w:tc>
          <w:tcPr>
            <w:tcW w:w="500" w:type="dxa"/>
            <w:vAlign w:val="bottom"/>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2.04</w:t>
            </w:r>
          </w:p>
        </w:tc>
        <w:tc>
          <w:tcPr>
            <w:tcW w:w="900" w:type="dxa"/>
            <w:vAlign w:val="bottom"/>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2.02</w:t>
            </w:r>
          </w:p>
        </w:tc>
        <w:tc>
          <w:tcPr>
            <w:tcW w:w="90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Arial" w:cs="Arial" w:eastAsia="Arial" w:hAnsi="Arial"/>
                <w:sz w:val="17"/>
                <w:szCs w:val="17"/>
                <w:b w:val="1"/>
                <w:bCs w:val="1"/>
                <w:color w:val="auto"/>
              </w:rPr>
              <w:t>Weighted-average shares outstanding (000)</w:t>
            </w: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318,957</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324,877</w:t>
            </w:r>
          </w:p>
        </w:tc>
        <w:tc>
          <w:tcPr>
            <w:tcW w:w="0" w:type="dxa"/>
            <w:vAlign w:val="bottom"/>
          </w:tcPr>
          <w:p>
            <w:pPr>
              <w:spacing w:after="0"/>
              <w:rPr>
                <w:sz w:val="1"/>
                <w:szCs w:val="1"/>
                <w:color w:val="auto"/>
              </w:rPr>
            </w:pPr>
          </w:p>
        </w:tc>
      </w:tr>
      <w:tr>
        <w:trPr>
          <w:trHeight w:val="217"/>
        </w:trPr>
        <w:tc>
          <w:tcPr>
            <w:tcW w:w="7400" w:type="dxa"/>
            <w:vAlign w:val="bottom"/>
          </w:tcPr>
          <w:p>
            <w:pPr>
              <w:ind w:left="220"/>
              <w:spacing w:after="0"/>
              <w:rPr>
                <w:sz w:val="20"/>
                <w:szCs w:val="20"/>
                <w:color w:val="auto"/>
              </w:rPr>
            </w:pPr>
            <w:r>
              <w:rPr>
                <w:rFonts w:ascii="Arial" w:cs="Arial" w:eastAsia="Arial" w:hAnsi="Arial"/>
                <w:sz w:val="17"/>
                <w:szCs w:val="17"/>
                <w:color w:val="auto"/>
              </w:rPr>
              <w:t>Diluted</w:t>
            </w:r>
          </w:p>
        </w:tc>
        <w:tc>
          <w:tcPr>
            <w:tcW w:w="50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321,231</w:t>
            </w:r>
          </w:p>
        </w:tc>
        <w:tc>
          <w:tcPr>
            <w:tcW w:w="9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327,005</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 unaudited)</w:t>
            </w:r>
          </w:p>
        </w:tc>
        <w:tc>
          <w:tcPr>
            <w:tcW w:w="60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600" w:type="dxa"/>
            <w:vAlign w:val="bottom"/>
            <w:shd w:val="clear" w:color="auto" w:fill="CCEEFF"/>
          </w:tcPr>
          <w:p>
            <w:pPr>
              <w:jc w:val="right"/>
              <w:ind w:right="395"/>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649,964</w:t>
            </w:r>
          </w:p>
        </w:tc>
        <w:tc>
          <w:tcPr>
            <w:tcW w:w="100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479,249</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6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income</w:t>
            </w:r>
          </w:p>
        </w:tc>
        <w:tc>
          <w:tcPr>
            <w:tcW w:w="6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649,964</w:t>
            </w:r>
          </w:p>
        </w:tc>
        <w:tc>
          <w:tcPr>
            <w:tcW w:w="100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479,249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 except share data, unaudited)</w:t>
            </w:r>
          </w:p>
        </w:tc>
        <w:tc>
          <w:tcPr>
            <w:tcW w:w="10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4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January 31, 2026</w:t>
            </w:r>
          </w:p>
        </w:tc>
        <w:tc>
          <w:tcPr>
            <w:tcW w:w="6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020" w:type="dxa"/>
            <w:vAlign w:val="bottom"/>
            <w:shd w:val="clear" w:color="auto" w:fill="CCEEFF"/>
          </w:tcPr>
          <w:p>
            <w:pPr>
              <w:jc w:val="right"/>
              <w:ind w:right="375"/>
              <w:spacing w:after="0"/>
              <w:rPr>
                <w:sz w:val="20"/>
                <w:szCs w:val="20"/>
                <w:color w:val="auto"/>
              </w:rPr>
            </w:pPr>
            <w:r>
              <w:rPr>
                <w:rFonts w:ascii="Arial" w:cs="Arial" w:eastAsia="Arial" w:hAnsi="Arial"/>
                <w:sz w:val="17"/>
                <w:szCs w:val="17"/>
                <w:b w:val="1"/>
                <w:bCs w:val="1"/>
                <w:color w:val="auto"/>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4,130,980</w:t>
            </w:r>
          </w:p>
        </w:tc>
        <w:tc>
          <w:tcPr>
            <w:tcW w:w="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4,594,392</w:t>
            </w:r>
          </w:p>
        </w:tc>
        <w:tc>
          <w:tcPr>
            <w:tcW w:w="62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3,783,413</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212,540</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181,301</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181,004</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Merchandise inventory</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2,976,958</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2,630,970</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2,669,849</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Prepaid expenses and other</w:t>
            </w: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252,941</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233,434</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240,837</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7,573,419</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7,640,097</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6,875,103</w:t>
            </w: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Land and buildings</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1,838,070</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1,836,167</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1,494,018</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Fixtures and equipment</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5,115,619</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5,056,827</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4,561,893</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Leasehold improvements</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1,870,928</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1,861,160</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1,719,361</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Construction-in-progress</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560,433</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477,290</w:t>
            </w:r>
          </w:p>
        </w:tc>
        <w:tc>
          <w:tcPr>
            <w:tcW w:w="6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864,381</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9,385,050</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9,231,444</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8,639,653</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accumulated depreciation and amortization</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5,237,384</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5,142,684</w:t>
            </w:r>
          </w:p>
        </w:tc>
        <w:tc>
          <w:tcPr>
            <w:tcW w:w="6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4,812,112</w:t>
            </w:r>
          </w:p>
        </w:tc>
        <w:tc>
          <w:tcPr>
            <w:tcW w:w="0" w:type="dxa"/>
            <w:vAlign w:val="bottom"/>
          </w:tcPr>
          <w:p>
            <w:pPr>
              <w:spacing w:after="0"/>
              <w:rPr>
                <w:sz w:val="1"/>
                <w:szCs w:val="1"/>
                <w:color w:val="auto"/>
              </w:rPr>
            </w:pPr>
          </w:p>
        </w:tc>
      </w:tr>
      <w:tr>
        <w:trPr>
          <w:trHeight w:val="210"/>
        </w:trPr>
        <w:tc>
          <w:tcPr>
            <w:tcW w:w="4640" w:type="dxa"/>
            <w:vAlign w:val="bottom"/>
          </w:tcPr>
          <w:p>
            <w:pPr>
              <w:ind w:left="440"/>
              <w:spacing w:after="0"/>
              <w:rPr>
                <w:sz w:val="20"/>
                <w:szCs w:val="20"/>
                <w:color w:val="auto"/>
              </w:rPr>
            </w:pPr>
            <w:r>
              <w:rPr>
                <w:rFonts w:ascii="Arial" w:cs="Arial" w:eastAsia="Arial" w:hAnsi="Arial"/>
                <w:sz w:val="17"/>
                <w:szCs w:val="17"/>
                <w:color w:val="auto"/>
              </w:rPr>
              <w:t>Property and equipment, net</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4,147,666</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4,088,760</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3,827,541</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7"/>
                <w:szCs w:val="17"/>
                <w:color w:val="auto"/>
              </w:rPr>
              <w:t>Operating lease assets</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3,531,945</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3,519,610</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3,325,849</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long-term assets</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301,542</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300,270</w:t>
            </w:r>
          </w:p>
        </w:tc>
        <w:tc>
          <w:tcPr>
            <w:tcW w:w="6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276,123</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15,554,572</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15,548,737</w:t>
            </w:r>
          </w:p>
        </w:tc>
        <w:tc>
          <w:tcPr>
            <w:tcW w:w="6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14,304,616</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1020" w:type="dxa"/>
            <w:vAlign w:val="bottom"/>
          </w:tcPr>
          <w:p>
            <w:pPr>
              <w:jc w:val="right"/>
              <w:ind w:right="375"/>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2,653,741</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2,386,418</w:t>
            </w:r>
          </w:p>
        </w:tc>
        <w:tc>
          <w:tcPr>
            <w:tcW w:w="6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2,163,954</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696,511</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666,978</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616,008</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Current operating lease liabilities</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735,528</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727,855</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702,025</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payroll and benefits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376,760</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484,407</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274,877</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210,971</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61,779</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180,083</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241,344</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499,743</w:t>
            </w:r>
          </w:p>
        </w:tc>
        <w:tc>
          <w:tcPr>
            <w:tcW w:w="6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498,812</w:t>
            </w:r>
          </w:p>
        </w:tc>
        <w:tc>
          <w:tcPr>
            <w:tcW w:w="0" w:type="dxa"/>
            <w:vAlign w:val="bottom"/>
          </w:tcPr>
          <w:p>
            <w:pPr>
              <w:spacing w:after="0"/>
              <w:rPr>
                <w:sz w:val="1"/>
                <w:szCs w:val="1"/>
                <w:color w:val="auto"/>
              </w:rPr>
            </w:pPr>
          </w:p>
        </w:tc>
      </w:tr>
      <w:tr>
        <w:trPr>
          <w:trHeight w:val="210"/>
        </w:trPr>
        <w:tc>
          <w:tcPr>
            <w:tcW w:w="464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4,914,855</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4,827,180</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4,435,759</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776,843</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1,017,863</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1,016,897</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2,969,435</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2,966,877</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2,797,935</w:t>
            </w:r>
          </w:p>
        </w:tc>
        <w:tc>
          <w:tcPr>
            <w:tcW w:w="0" w:type="dxa"/>
            <w:vAlign w:val="bottom"/>
          </w:tcPr>
          <w:p>
            <w:pPr>
              <w:spacing w:after="0"/>
              <w:rPr>
                <w:sz w:val="1"/>
                <w:szCs w:val="1"/>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020" w:type="dxa"/>
            <w:vAlign w:val="bottom"/>
          </w:tcPr>
          <w:p>
            <w:pPr>
              <w:spacing w:after="0"/>
              <w:rPr>
                <w:sz w:val="18"/>
                <w:szCs w:val="18"/>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auto"/>
              </w:rPr>
              <w:t>292,944</w:t>
            </w:r>
          </w:p>
        </w:tc>
        <w:tc>
          <w:tcPr>
            <w:tcW w:w="42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287,947</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268,698</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295,492</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261,427</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209,249</w:t>
            </w: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40" w:type="dxa"/>
            <w:vAlign w:val="bottom"/>
          </w:tcPr>
          <w:p>
            <w:pPr>
              <w:ind w:left="220"/>
              <w:spacing w:after="0" w:line="167" w:lineRule="exact"/>
              <w:rPr>
                <w:sz w:val="20"/>
                <w:szCs w:val="20"/>
                <w:color w:val="auto"/>
              </w:rPr>
            </w:pPr>
            <w:r>
              <w:rPr>
                <w:rFonts w:ascii="Arial" w:cs="Arial" w:eastAsia="Arial" w:hAnsi="Arial"/>
                <w:sz w:val="17"/>
                <w:szCs w:val="17"/>
                <w:color w:val="auto"/>
              </w:rPr>
              <w:t>Common stock, par value $.01 per share</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40"/>
              <w:spacing w:after="0" w:line="175" w:lineRule="exact"/>
              <w:rPr>
                <w:sz w:val="20"/>
                <w:szCs w:val="20"/>
                <w:color w:val="auto"/>
              </w:rPr>
            </w:pPr>
            <w:r>
              <w:rPr>
                <w:rFonts w:ascii="Arial" w:cs="Arial" w:eastAsia="Arial" w:hAnsi="Arial"/>
                <w:sz w:val="17"/>
                <w:szCs w:val="17"/>
                <w:color w:val="auto"/>
              </w:rPr>
              <w:t>Authorized 1,000,000,000 shares</w:t>
            </w: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tcPr>
          <w:p>
            <w:pPr>
              <w:ind w:left="360"/>
              <w:spacing w:after="0" w:line="171" w:lineRule="exact"/>
              <w:rPr>
                <w:sz w:val="20"/>
                <w:szCs w:val="20"/>
                <w:color w:val="auto"/>
              </w:rPr>
            </w:pPr>
            <w:r>
              <w:rPr>
                <w:rFonts w:ascii="Arial" w:cs="Arial" w:eastAsia="Arial" w:hAnsi="Arial"/>
                <w:sz w:val="17"/>
                <w:szCs w:val="17"/>
                <w:color w:val="auto"/>
              </w:rPr>
              <w:t>Issued and outstanding 321,035,000, 322,333,000</w:t>
            </w:r>
          </w:p>
        </w:tc>
        <w:tc>
          <w:tcPr>
            <w:tcW w:w="102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3,210</w:t>
            </w:r>
          </w:p>
        </w:tc>
        <w:tc>
          <w:tcPr>
            <w:tcW w:w="420" w:type="dxa"/>
            <w:vAlign w:val="bottom"/>
          </w:tcPr>
          <w:p>
            <w:pPr>
              <w:spacing w:after="0"/>
              <w:rPr>
                <w:sz w:val="14"/>
                <w:szCs w:val="14"/>
                <w:color w:val="auto"/>
              </w:rPr>
            </w:pPr>
          </w:p>
        </w:tc>
        <w:tc>
          <w:tcPr>
            <w:tcW w:w="1640" w:type="dxa"/>
            <w:vAlign w:val="bottom"/>
            <w:vMerge w:val="restart"/>
          </w:tcPr>
          <w:p>
            <w:pPr>
              <w:jc w:val="right"/>
              <w:ind w:right="35"/>
              <w:spacing w:after="0"/>
              <w:rPr>
                <w:sz w:val="20"/>
                <w:szCs w:val="20"/>
                <w:color w:val="auto"/>
              </w:rPr>
            </w:pPr>
            <w:r>
              <w:rPr>
                <w:rFonts w:ascii="Arial" w:cs="Arial" w:eastAsia="Arial" w:hAnsi="Arial"/>
                <w:sz w:val="17"/>
                <w:szCs w:val="17"/>
                <w:color w:val="auto"/>
              </w:rPr>
              <w:t>3,223</w:t>
            </w:r>
          </w:p>
        </w:tc>
        <w:tc>
          <w:tcPr>
            <w:tcW w:w="6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3,274</w:t>
            </w:r>
          </w:p>
        </w:tc>
        <w:tc>
          <w:tcPr>
            <w:tcW w:w="0" w:type="dxa"/>
            <w:vAlign w:val="bottom"/>
          </w:tcPr>
          <w:p>
            <w:pPr>
              <w:spacing w:after="0"/>
              <w:rPr>
                <w:sz w:val="1"/>
                <w:szCs w:val="1"/>
                <w:color w:val="auto"/>
              </w:rPr>
            </w:pPr>
          </w:p>
        </w:tc>
      </w:tr>
      <w:tr>
        <w:trPr>
          <w:trHeight w:val="217"/>
        </w:trPr>
        <w:tc>
          <w:tcPr>
            <w:tcW w:w="4640" w:type="dxa"/>
            <w:vAlign w:val="bottom"/>
          </w:tcPr>
          <w:p>
            <w:pPr>
              <w:ind w:left="360"/>
              <w:spacing w:after="0"/>
              <w:rPr>
                <w:sz w:val="20"/>
                <w:szCs w:val="20"/>
                <w:color w:val="auto"/>
              </w:rPr>
            </w:pPr>
            <w:r>
              <w:rPr>
                <w:rFonts w:ascii="Arial" w:cs="Arial" w:eastAsia="Arial" w:hAnsi="Arial"/>
                <w:sz w:val="17"/>
                <w:szCs w:val="17"/>
                <w:color w:val="auto"/>
              </w:rPr>
              <w:t>and 327,384,000 shares, respectively</w:t>
            </w:r>
          </w:p>
        </w:tc>
        <w:tc>
          <w:tcPr>
            <w:tcW w:w="10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2,314,302</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2,257,354</w:t>
            </w:r>
          </w:p>
        </w:tc>
        <w:tc>
          <w:tcPr>
            <w:tcW w:w="6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2,131,533</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7"/>
                <w:szCs w:val="17"/>
                <w:color w:val="auto"/>
              </w:rPr>
              <w:t>Treasury stock</w:t>
            </w:r>
          </w:p>
        </w:tc>
        <w:tc>
          <w:tcPr>
            <w:tcW w:w="10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(933,459)</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(799,288)</w:t>
            </w:r>
          </w:p>
        </w:tc>
        <w:tc>
          <w:tcPr>
            <w:tcW w:w="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(779,541)</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4,920,950</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4,726,154</w:t>
            </w:r>
          </w:p>
        </w:tc>
        <w:tc>
          <w:tcPr>
            <w:tcW w:w="6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4,220,812</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stockholders’ equity</w:t>
            </w: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6,305,003</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6,187,443</w:t>
            </w: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5,576,078</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0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15,554,572</w:t>
            </w:r>
          </w:p>
        </w:tc>
        <w:tc>
          <w:tcPr>
            <w:tcW w:w="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15,548,737</w:t>
            </w:r>
          </w:p>
        </w:tc>
        <w:tc>
          <w:tcPr>
            <w:tcW w:w="6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14,304,616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560" w:type="dxa"/>
            <w:vAlign w:val="bottom"/>
            <w:tcBorders>
              <w:top w:val="single" w:sz="8" w:color="auto"/>
              <w:bottom w:val="single" w:sz="8" w:color="auto"/>
            </w:tcBorders>
            <w:gridSpan w:val="6"/>
          </w:tcPr>
          <w:p>
            <w:pPr>
              <w:jc w:val="right"/>
              <w:ind w:right="35"/>
              <w:spacing w:after="0"/>
              <w:rPr>
                <w:sz w:val="20"/>
                <w:szCs w:val="20"/>
                <w:color w:val="auto"/>
              </w:rPr>
            </w:pPr>
            <w:r>
              <w:rPr>
                <w:rFonts w:ascii="Arial" w:cs="Arial" w:eastAsia="Arial" w:hAnsi="Arial"/>
                <w:sz w:val="17"/>
                <w:szCs w:val="17"/>
                <w:b w:val="1"/>
                <w:bCs w:val="1"/>
                <w:color w:val="auto"/>
              </w:rPr>
              <w:t>Three Months Ended May 2, 2026</w:t>
            </w:r>
          </w:p>
        </w:tc>
        <w:tc>
          <w:tcPr>
            <w:tcW w:w="9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400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color w:val="auto"/>
              </w:rPr>
              <w:t>Common stock</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Additional</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line="146" w:lineRule="exact"/>
              <w:rPr>
                <w:sz w:val="20"/>
                <w:szCs w:val="20"/>
                <w:color w:val="auto"/>
              </w:rPr>
            </w:pPr>
            <w:r>
              <w:rPr>
                <w:rFonts w:ascii="Arial" w:cs="Arial" w:eastAsia="Arial" w:hAnsi="Arial"/>
                <w:sz w:val="16"/>
                <w:szCs w:val="16"/>
                <w:color w:val="auto"/>
              </w:rPr>
              <w:t>($ and shares in 000, except per share data,</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Shares</w:t>
            </w:r>
          </w:p>
        </w:tc>
        <w:tc>
          <w:tcPr>
            <w:tcW w:w="3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Arial" w:cs="Arial" w:eastAsia="Arial" w:hAnsi="Arial"/>
                <w:sz w:val="16"/>
                <w:szCs w:val="16"/>
                <w:color w:val="auto"/>
              </w:rPr>
              <w:t>paid-in</w:t>
            </w:r>
          </w:p>
        </w:tc>
        <w:tc>
          <w:tcPr>
            <w:tcW w:w="300" w:type="dxa"/>
            <w:vAlign w:val="bottom"/>
          </w:tcPr>
          <w:p>
            <w:pPr>
              <w:spacing w:after="0"/>
              <w:rPr>
                <w:sz w:val="12"/>
                <w:szCs w:val="12"/>
                <w:color w:val="auto"/>
              </w:rPr>
            </w:pPr>
          </w:p>
        </w:tc>
        <w:tc>
          <w:tcPr>
            <w:tcW w:w="920" w:type="dxa"/>
            <w:vAlign w:val="bottom"/>
          </w:tcPr>
          <w:p>
            <w:pPr>
              <w:ind w:left="200"/>
              <w:spacing w:after="0" w:line="146" w:lineRule="exact"/>
              <w:rPr>
                <w:sz w:val="20"/>
                <w:szCs w:val="20"/>
                <w:color w:val="auto"/>
              </w:rPr>
            </w:pPr>
            <w:r>
              <w:rPr>
                <w:rFonts w:ascii="Arial" w:cs="Arial" w:eastAsia="Arial" w:hAnsi="Arial"/>
                <w:sz w:val="16"/>
                <w:szCs w:val="16"/>
                <w:color w:val="auto"/>
              </w:rPr>
              <w:t>Treasury</w:t>
            </w:r>
          </w:p>
        </w:tc>
        <w:tc>
          <w:tcPr>
            <w:tcW w:w="2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Arial" w:cs="Arial" w:eastAsia="Arial" w:hAnsi="Arial"/>
                <w:sz w:val="16"/>
                <w:szCs w:val="16"/>
                <w:color w:val="auto"/>
              </w:rPr>
              <w:t>Retained</w:t>
            </w: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unaudited)</w:t>
            </w:r>
          </w:p>
        </w:tc>
        <w:tc>
          <w:tcPr>
            <w:tcW w:w="11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capital</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stock</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earnings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31, 2026</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322,333</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2,257,354</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(799,288)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4,726,154</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6,187,443</w:t>
            </w: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649,964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649,964</w:t>
            </w: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Common stock issued under stock plans, net of</w:t>
            </w: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156</w:t>
            </w:r>
          </w:p>
        </w:tc>
        <w:tc>
          <w:tcPr>
            <w:tcW w:w="3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6,614</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(134,171)</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(127,555)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for tax withholding</w:t>
            </w:r>
          </w:p>
        </w:tc>
        <w:tc>
          <w:tcPr>
            <w:tcW w:w="116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59,120</w:t>
            </w:r>
          </w:p>
        </w:tc>
        <w:tc>
          <w:tcPr>
            <w:tcW w:w="3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59,120</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repurchased, inclusive of excise tax</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(311,609)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(320,410)</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($0.4450 per share)</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(143,559)</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(143,559)</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May 2, 2026</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321,035</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2,314,302</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(933,459)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4,920,950</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6,305,003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560" w:type="dxa"/>
            <w:vAlign w:val="bottom"/>
            <w:tcBorders>
              <w:top w:val="single" w:sz="8" w:color="auto"/>
              <w:bottom w:val="single" w:sz="8" w:color="auto"/>
            </w:tcBorders>
            <w:gridSpan w:val="6"/>
          </w:tcPr>
          <w:p>
            <w:pPr>
              <w:jc w:val="right"/>
              <w:ind w:right="35"/>
              <w:spacing w:after="0"/>
              <w:rPr>
                <w:sz w:val="20"/>
                <w:szCs w:val="20"/>
                <w:color w:val="auto"/>
              </w:rPr>
            </w:pPr>
            <w:r>
              <w:rPr>
                <w:rFonts w:ascii="Arial" w:cs="Arial" w:eastAsia="Arial" w:hAnsi="Arial"/>
                <w:sz w:val="17"/>
                <w:szCs w:val="17"/>
                <w:b w:val="1"/>
                <w:bCs w:val="1"/>
                <w:color w:val="auto"/>
              </w:rPr>
              <w:t>Three Months Ended May 3, 2025</w:t>
            </w:r>
          </w:p>
        </w:tc>
        <w:tc>
          <w:tcPr>
            <w:tcW w:w="9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400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color w:val="auto"/>
              </w:rPr>
              <w:t>Common stock</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Additional</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line="146" w:lineRule="exact"/>
              <w:rPr>
                <w:sz w:val="20"/>
                <w:szCs w:val="20"/>
                <w:color w:val="auto"/>
              </w:rPr>
            </w:pPr>
            <w:r>
              <w:rPr>
                <w:rFonts w:ascii="Arial" w:cs="Arial" w:eastAsia="Arial" w:hAnsi="Arial"/>
                <w:sz w:val="16"/>
                <w:szCs w:val="16"/>
                <w:color w:val="auto"/>
              </w:rPr>
              <w:t>($ and shares in 000, except per share data,</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Shares</w:t>
            </w:r>
          </w:p>
        </w:tc>
        <w:tc>
          <w:tcPr>
            <w:tcW w:w="3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Arial" w:cs="Arial" w:eastAsia="Arial" w:hAnsi="Arial"/>
                <w:sz w:val="16"/>
                <w:szCs w:val="16"/>
                <w:color w:val="auto"/>
              </w:rPr>
              <w:t>paid-in</w:t>
            </w:r>
          </w:p>
        </w:tc>
        <w:tc>
          <w:tcPr>
            <w:tcW w:w="30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6"/>
                <w:szCs w:val="16"/>
                <w:color w:val="auto"/>
              </w:rPr>
              <w:t>Treasury</w:t>
            </w:r>
          </w:p>
        </w:tc>
        <w:tc>
          <w:tcPr>
            <w:tcW w:w="2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Arial" w:cs="Arial" w:eastAsia="Arial" w:hAnsi="Arial"/>
                <w:sz w:val="16"/>
                <w:szCs w:val="16"/>
                <w:color w:val="auto"/>
              </w:rPr>
              <w:t>Retained</w:t>
            </w: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unaudited)</w:t>
            </w:r>
          </w:p>
        </w:tc>
        <w:tc>
          <w:tcPr>
            <w:tcW w:w="11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capital</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stock</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earnings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February 1, 2025</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328,813</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2,097,110</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(719,410)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4,128,207</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5,509,195</w:t>
            </w: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479,249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479,249</w:t>
            </w: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Common stock issued under stock plans, net of</w:t>
            </w: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551</w:t>
            </w:r>
          </w:p>
        </w:tc>
        <w:tc>
          <w:tcPr>
            <w:tcW w:w="3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6,137</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(60,131)</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(53,988)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for tax withholding</w:t>
            </w:r>
          </w:p>
        </w:tc>
        <w:tc>
          <w:tcPr>
            <w:tcW w:w="116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39,296</w:t>
            </w:r>
          </w:p>
        </w:tc>
        <w:tc>
          <w:tcPr>
            <w:tcW w:w="30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39,296</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repurchased, inclusive of excise tax</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(253,344)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(264,374)</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($0.4050 per share)</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(133,300)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(133,300)</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May 3, 2025</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327,384</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2,131,533</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(779,541)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4,220,812</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5,576,078</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 unaudited)</w:t>
            </w:r>
          </w:p>
        </w:tc>
        <w:tc>
          <w:tcPr>
            <w:tcW w:w="82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2"/>
          </w:tcPr>
          <w:p>
            <w:pPr>
              <w:jc w:val="right"/>
              <w:ind w:right="295"/>
              <w:spacing w:after="0"/>
              <w:rPr>
                <w:sz w:val="20"/>
                <w:szCs w:val="20"/>
                <w:color w:val="auto"/>
              </w:rPr>
            </w:pPr>
            <w:r>
              <w:rPr>
                <w:rFonts w:ascii="Arial" w:cs="Arial" w:eastAsia="Arial" w:hAnsi="Arial"/>
                <w:sz w:val="17"/>
                <w:szCs w:val="17"/>
                <w:b w:val="1"/>
                <w:bCs w:val="1"/>
                <w:color w:val="auto"/>
              </w:rPr>
              <w:t>Three Months Ended</w:t>
            </w:r>
          </w:p>
        </w:tc>
        <w:tc>
          <w:tcPr>
            <w:tcW w:w="1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1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820" w:type="dxa"/>
            <w:vAlign w:val="bottom"/>
          </w:tcPr>
          <w:p>
            <w:pPr>
              <w:jc w:val="right"/>
              <w:ind w:right="63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649,964</w:t>
            </w:r>
          </w:p>
        </w:tc>
        <w:tc>
          <w:tcPr>
            <w:tcW w:w="1240" w:type="dxa"/>
            <w:vAlign w:val="bottom"/>
          </w:tcPr>
          <w:p>
            <w:pPr>
              <w:jc w:val="right"/>
              <w:ind w:right="99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479,249</w:t>
            </w:r>
          </w:p>
        </w:tc>
        <w:tc>
          <w:tcPr>
            <w:tcW w:w="0" w:type="dxa"/>
            <w:vAlign w:val="bottom"/>
          </w:tcPr>
          <w:p>
            <w:pPr>
              <w:spacing w:after="0"/>
              <w:rPr>
                <w:sz w:val="1"/>
                <w:szCs w:val="1"/>
                <w:color w:val="auto"/>
              </w:rPr>
            </w:pPr>
          </w:p>
        </w:tc>
      </w:tr>
      <w:tr>
        <w:trPr>
          <w:trHeight w:val="166"/>
        </w:trPr>
        <w:tc>
          <w:tcPr>
            <w:tcW w:w="61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Adjustments to reconcile net earnings to net cash provided</w:t>
            </w:r>
          </w:p>
        </w:tc>
        <w:tc>
          <w:tcPr>
            <w:tcW w:w="8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by operating activities:</w:t>
            </w:r>
          </w:p>
        </w:tc>
        <w:tc>
          <w:tcPr>
            <w:tcW w:w="8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82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132,599</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115,938</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59,120</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39,296</w:t>
            </w:r>
          </w:p>
        </w:tc>
        <w:tc>
          <w:tcPr>
            <w:tcW w:w="0" w:type="dxa"/>
            <w:vAlign w:val="bottom"/>
          </w:tcPr>
          <w:p>
            <w:pPr>
              <w:spacing w:after="0"/>
              <w:rPr>
                <w:sz w:val="1"/>
                <w:szCs w:val="1"/>
                <w:color w:val="auto"/>
              </w:rPr>
            </w:pPr>
          </w:p>
        </w:tc>
      </w:tr>
      <w:tr>
        <w:trPr>
          <w:trHeight w:val="217"/>
        </w:trPr>
        <w:tc>
          <w:tcPr>
            <w:tcW w:w="610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82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34,065</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22,209</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assets and liabilities: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440"/>
              <w:spacing w:after="0"/>
              <w:rPr>
                <w:sz w:val="20"/>
                <w:szCs w:val="20"/>
                <w:color w:val="auto"/>
              </w:rPr>
            </w:pPr>
            <w:r>
              <w:rPr>
                <w:rFonts w:ascii="Arial" w:cs="Arial" w:eastAsia="Arial" w:hAnsi="Arial"/>
                <w:sz w:val="17"/>
                <w:szCs w:val="17"/>
                <w:color w:val="auto"/>
              </w:rPr>
              <w:t>Merchandise inventory</w:t>
            </w:r>
          </w:p>
        </w:tc>
        <w:tc>
          <w:tcPr>
            <w:tcW w:w="8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(345,988)</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(225,336)</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assets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(50,547)</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(58,426)</w:t>
            </w:r>
          </w:p>
        </w:tc>
        <w:tc>
          <w:tcPr>
            <w:tcW w:w="0" w:type="dxa"/>
            <w:vAlign w:val="bottom"/>
          </w:tcPr>
          <w:p>
            <w:pPr>
              <w:spacing w:after="0"/>
              <w:rPr>
                <w:sz w:val="1"/>
                <w:szCs w:val="1"/>
                <w:color w:val="auto"/>
              </w:rPr>
            </w:pPr>
          </w:p>
        </w:tc>
      </w:tr>
      <w:tr>
        <w:trPr>
          <w:trHeight w:val="217"/>
        </w:trPr>
        <w:tc>
          <w:tcPr>
            <w:tcW w:w="610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82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262,115</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67,182</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liabilities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(57,344)</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(173,946)</w:t>
            </w:r>
          </w:p>
        </w:tc>
        <w:tc>
          <w:tcPr>
            <w:tcW w:w="0" w:type="dxa"/>
            <w:vAlign w:val="bottom"/>
          </w:tcPr>
          <w:p>
            <w:pPr>
              <w:spacing w:after="0"/>
              <w:rPr>
                <w:sz w:val="1"/>
                <w:szCs w:val="1"/>
                <w:color w:val="auto"/>
              </w:rPr>
            </w:pPr>
          </w:p>
        </w:tc>
      </w:tr>
      <w:tr>
        <w:trPr>
          <w:trHeight w:val="217"/>
        </w:trPr>
        <w:tc>
          <w:tcPr>
            <w:tcW w:w="6100" w:type="dxa"/>
            <w:vAlign w:val="bottom"/>
          </w:tcPr>
          <w:p>
            <w:pPr>
              <w:ind w:left="440"/>
              <w:spacing w:after="0"/>
              <w:rPr>
                <w:sz w:val="20"/>
                <w:szCs w:val="20"/>
                <w:color w:val="auto"/>
              </w:rPr>
            </w:pPr>
            <w:r>
              <w:rPr>
                <w:rFonts w:ascii="Arial" w:cs="Arial" w:eastAsia="Arial" w:hAnsi="Arial"/>
                <w:sz w:val="17"/>
                <w:szCs w:val="17"/>
                <w:color w:val="auto"/>
              </w:rPr>
              <w:t>Income taxes</w:t>
            </w:r>
          </w:p>
        </w:tc>
        <w:tc>
          <w:tcPr>
            <w:tcW w:w="82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153,136</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139,086</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lease assets and liabilities, net</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(2,104)</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Other long-term, net</w:t>
            </w: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993</w:t>
            </w:r>
          </w:p>
        </w:tc>
        <w:tc>
          <w:tcPr>
            <w:tcW w:w="1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3,112</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Net cash provided by operating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836,009</w:t>
            </w:r>
          </w:p>
        </w:tc>
        <w:tc>
          <w:tcPr>
            <w:tcW w:w="1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409,715</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Additions to property and equipment</w:t>
            </w: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(208,954)</w:t>
            </w:r>
          </w:p>
        </w:tc>
        <w:tc>
          <w:tcPr>
            <w:tcW w:w="1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(207,378)</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Net cash used in investing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(208,954)</w:t>
            </w:r>
          </w:p>
        </w:tc>
        <w:tc>
          <w:tcPr>
            <w:tcW w:w="1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(207,378)</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7"/>
                <w:szCs w:val="17"/>
                <w:color w:val="auto"/>
              </w:rPr>
              <w:t>Issuance of common stock related to stock plans</w:t>
            </w:r>
          </w:p>
        </w:tc>
        <w:tc>
          <w:tcPr>
            <w:tcW w:w="82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6,616</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6,143</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stock purchased</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(134,171)</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(60,131)</w:t>
            </w:r>
          </w:p>
        </w:tc>
        <w:tc>
          <w:tcPr>
            <w:tcW w:w="0" w:type="dxa"/>
            <w:vAlign w:val="bottom"/>
          </w:tcPr>
          <w:p>
            <w:pPr>
              <w:spacing w:after="0"/>
              <w:rPr>
                <w:sz w:val="1"/>
                <w:szCs w:val="1"/>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7"/>
                <w:szCs w:val="17"/>
                <w:color w:val="auto"/>
              </w:rPr>
              <w:t>Repurchase of common stock</w:t>
            </w:r>
          </w:p>
        </w:tc>
        <w:tc>
          <w:tcPr>
            <w:tcW w:w="8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(318,750)</w:t>
            </w:r>
          </w:p>
        </w:tc>
        <w:tc>
          <w:tcPr>
            <w:tcW w:w="1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(262,521)</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paid</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(143,559)</w:t>
            </w: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(133,300)</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Payment of long-term debt</w:t>
            </w: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(500,000)</w:t>
            </w:r>
          </w:p>
        </w:tc>
        <w:tc>
          <w:tcPr>
            <w:tcW w:w="1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(700,000)</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Net cash used in financing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(1,089,864)</w:t>
            </w:r>
          </w:p>
        </w:tc>
        <w:tc>
          <w:tcPr>
            <w:tcW w:w="1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(1,149,809)</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1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Net decrease in cash, cash equivalents, and restricted cash and cash</w:t>
            </w:r>
          </w:p>
        </w:tc>
        <w:tc>
          <w:tcPr>
            <w:tcW w:w="82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(462,809)</w:t>
            </w:r>
          </w:p>
        </w:tc>
        <w:tc>
          <w:tcPr>
            <w:tcW w:w="1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(947,472)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82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and cash equivalents: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Beginning of period</w:t>
            </w: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4,661,973</w:t>
            </w:r>
          </w:p>
        </w:tc>
        <w:tc>
          <w:tcPr>
            <w:tcW w:w="1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4,796,462</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End of period</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4,199,164</w:t>
            </w:r>
          </w:p>
        </w:tc>
        <w:tc>
          <w:tcPr>
            <w:tcW w:w="124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3,848,990</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Disclosures</w:t>
            </w: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7"/>
                <w:szCs w:val="17"/>
                <w:color w:val="auto"/>
              </w:rPr>
              <w:t>Interest paid</w:t>
            </w:r>
          </w:p>
        </w:tc>
        <w:tc>
          <w:tcPr>
            <w:tcW w:w="820" w:type="dxa"/>
            <w:vAlign w:val="bottom"/>
          </w:tcPr>
          <w:p>
            <w:pPr>
              <w:jc w:val="right"/>
              <w:ind w:right="63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Pr>
          <w:p>
            <w:pPr>
              <w:jc w:val="right"/>
              <w:ind w:right="35"/>
              <w:spacing w:after="0"/>
              <w:rPr>
                <w:sz w:val="20"/>
                <w:szCs w:val="20"/>
                <w:color w:val="auto"/>
              </w:rPr>
            </w:pPr>
            <w:r>
              <w:rPr>
                <w:rFonts w:ascii="Arial" w:cs="Arial" w:eastAsia="Arial" w:hAnsi="Arial"/>
                <w:sz w:val="17"/>
                <w:szCs w:val="17"/>
                <w:b w:val="1"/>
                <w:bCs w:val="1"/>
                <w:color w:val="auto"/>
              </w:rPr>
              <w:t>19,839</w:t>
            </w:r>
          </w:p>
        </w:tc>
        <w:tc>
          <w:tcPr>
            <w:tcW w:w="1240" w:type="dxa"/>
            <w:vAlign w:val="bottom"/>
          </w:tcPr>
          <w:p>
            <w:pPr>
              <w:jc w:val="right"/>
              <w:ind w:right="99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35,939</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taxes paid, net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309</w:t>
            </w:r>
          </w:p>
        </w:tc>
        <w:tc>
          <w:tcPr>
            <w:tcW w:w="124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Three Months Ended May 2, 2026 and May 3, 2025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Summary of Significant Accounting Policies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accompanying unaudited interim condensed consolidated financial statements have been prepared from the records of</w:t>
      </w:r>
      <w:r>
        <w:rPr>
          <w:rFonts w:ascii="Arial" w:cs="Arial" w:eastAsia="Arial" w:hAnsi="Arial"/>
          <w:sz w:val="17"/>
          <w:szCs w:val="17"/>
          <w:b w:val="1"/>
          <w:bCs w:val="1"/>
          <w:color w:val="auto"/>
        </w:rPr>
        <w:t xml:space="preserve"> </w:t>
      </w:r>
      <w:r>
        <w:rPr>
          <w:rFonts w:ascii="Arial" w:cs="Arial" w:eastAsia="Arial" w:hAnsi="Arial"/>
          <w:sz w:val="17"/>
          <w:szCs w:val="17"/>
          <w:color w:val="auto"/>
        </w:rPr>
        <w:t>Ross Stores, Inc. and subsidiaries (the “Company”) without audit and, in the opinion of management, include all adjustments (consisting of only normal, recurring adjustments) necessary to present fairly the Company’s financial position as of May 2, 2026 and May 3, 2025, and the results of operations, comprehensive income, stockholders’ equity, and cash flows for the three month periods ended May 2, 2026 and May 3, 2025. The Condensed Consolidated Balance Sheet as of January 31, 2026, presented herein, has been derived from the Company’s audited consolidated financial statements for the fiscal year then ended.</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Certain information and disclosures normally included in the notes to annual consolidated financial statements prepared in accordance with Generally Accepted Accounting Principles in the United States of America (“GAAP”) have been condensed or omitted for purposes of these interim condensed consolidated financial statements. The interim condensed consolidated financial statements should be read in conjunction with the audited consolidated financial statements, including notes thereto, contained in the Company’s Annual Report on Form 10-K for the year ended January 31, 2026.</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results of operations, comprehensive income, stockholders’ equity, and cash flows for the three month periods ended May 2, 2026 and May 3, 2025 presented herein are not necessarily indicative of the results to be expected for the full fiscal year. The fiscal years ending January 30, 2027 and January 31, 2026 are referred to as fiscal 2026 and fiscal 2025, respectively, and are both 52-week years. The three month periods ended May 2, 2026 and May 3, 2025 are referred to as the first quarter of fiscal 2026 and fiscal 2025, respectively.</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Use of accounting estimates. </w:t>
      </w:r>
      <w:r>
        <w:rPr>
          <w:rFonts w:ascii="Arial" w:cs="Arial" w:eastAsia="Arial" w:hAnsi="Arial"/>
          <w:sz w:val="17"/>
          <w:szCs w:val="17"/>
          <w:color w:val="auto"/>
        </w:rPr>
        <w:t>The preparation of financial statements in conformity with GAAP requires the Company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liabilities, and disclosures of contingent assets and liabilities at the date of the condensed consolidated financial statements, and the reported amounts of revenue and expenses during the reporting period. Actual results could differ materially from the Company’s estimates. The Company’s significant accounting estimates include valuation reserves for inventory, packaway and other inventory carrying costs, useful lives of fixed assets, insurance reserves, reserves for uncertain tax positions, and legal claims.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Segment reporting. </w:t>
      </w:r>
      <w:r>
        <w:rPr>
          <w:rFonts w:ascii="Arial" w:cs="Arial" w:eastAsia="Arial" w:hAnsi="Arial"/>
          <w:sz w:val="17"/>
          <w:szCs w:val="17"/>
          <w:color w:val="auto"/>
        </w:rPr>
        <w:t>The Company has one reportable segment. Refer to Note G: Segment Reporting for additional information.</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Cash equivalents consist of highly liquid, fixed income instruments purchased with an original maturity of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or less. The institutions where these instruments are held could potentially subject the Company to concentrations of credit risk. The Company manages its risk associated with these instruments primarily by holding its cash and cash equivalents across a highly diversified set of banks and other financial institutions.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Restricted cash and cash equivalents. </w:t>
      </w:r>
      <w:r>
        <w:rPr>
          <w:rFonts w:ascii="Arial" w:cs="Arial" w:eastAsia="Arial" w:hAnsi="Arial"/>
          <w:sz w:val="17"/>
          <w:szCs w:val="17"/>
          <w:color w:val="auto"/>
        </w:rPr>
        <w:t>Restricted cash and cash equivalents serve as collateral for certain insurance obligations. These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funds cannot be withdrawn from the Company’s account without the prior written consent of the secured parties. The classification between current and long-term is based on the timing of expected payments of the obligations.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The following table provides a reconciliation of cash, cash equivalents, and restricted cash and cash equivalents in the Condensed Consolidated Balance Sheets, that reconcile to the amounts shown on the Condensed Consolidated Statements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8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4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January 31, 2026</w:t>
            </w:r>
          </w:p>
        </w:tc>
        <w:tc>
          <w:tcPr>
            <w:tcW w:w="6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EEFF"/>
          </w:tcPr>
          <w:p>
            <w:pPr>
              <w:jc w:val="right"/>
              <w:ind w:right="375"/>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4,130,980</w:t>
            </w:r>
          </w:p>
        </w:tc>
        <w:tc>
          <w:tcPr>
            <w:tcW w:w="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4,594,392</w:t>
            </w:r>
          </w:p>
        </w:tc>
        <w:tc>
          <w:tcPr>
            <w:tcW w:w="62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3,783,413</w:t>
            </w:r>
          </w:p>
        </w:tc>
        <w:tc>
          <w:tcPr>
            <w:tcW w:w="0" w:type="dxa"/>
            <w:vAlign w:val="bottom"/>
          </w:tcPr>
          <w:p>
            <w:pPr>
              <w:spacing w:after="0"/>
              <w:rPr>
                <w:sz w:val="1"/>
                <w:szCs w:val="1"/>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Restricted cash and cash equivalents included in:</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21,137</w:t>
            </w: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20,950</w:t>
            </w: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17,050</w:t>
            </w:r>
          </w:p>
        </w:tc>
        <w:tc>
          <w:tcPr>
            <w:tcW w:w="0" w:type="dxa"/>
            <w:vAlign w:val="bottom"/>
          </w:tcPr>
          <w:p>
            <w:pPr>
              <w:spacing w:after="0"/>
              <w:rPr>
                <w:sz w:val="1"/>
                <w:szCs w:val="1"/>
                <w:color w:val="auto"/>
              </w:rPr>
            </w:pPr>
          </w:p>
        </w:tc>
      </w:tr>
      <w:tr>
        <w:trPr>
          <w:trHeight w:val="217"/>
        </w:trPr>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 long-term assets</w:t>
            </w: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47,047</w:t>
            </w:r>
          </w:p>
        </w:tc>
        <w:tc>
          <w:tcPr>
            <w:tcW w:w="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46,631</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48,527</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restricted cash and cash equivalents</w:t>
            </w:r>
          </w:p>
        </w:tc>
        <w:tc>
          <w:tcPr>
            <w:tcW w:w="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68,184</w:t>
            </w:r>
          </w:p>
        </w:tc>
        <w:tc>
          <w:tcPr>
            <w:tcW w:w="4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67,581</w:t>
            </w:r>
          </w:p>
        </w:tc>
        <w:tc>
          <w:tcPr>
            <w:tcW w:w="6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65,577</w:t>
            </w: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line="168" w:lineRule="exact"/>
              <w:rPr>
                <w:sz w:val="20"/>
                <w:szCs w:val="20"/>
                <w:color w:val="auto"/>
              </w:rPr>
            </w:pPr>
            <w:r>
              <w:rPr>
                <w:rFonts w:ascii="Arial" w:cs="Arial" w:eastAsia="Arial" w:hAnsi="Arial"/>
                <w:sz w:val="17"/>
                <w:szCs w:val="17"/>
                <w:color w:val="auto"/>
              </w:rPr>
              <w:t>Total cash, cash equivalents, and restricted cash and cash</w:t>
            </w:r>
          </w:p>
        </w:tc>
        <w:tc>
          <w:tcPr>
            <w:tcW w:w="86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w:t>
            </w:r>
          </w:p>
        </w:tc>
        <w:tc>
          <w:tcPr>
            <w:tcW w:w="14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4,199,164</w:t>
            </w:r>
          </w:p>
        </w:tc>
        <w:tc>
          <w:tcPr>
            <w:tcW w:w="440" w:type="dxa"/>
            <w:vAlign w:val="bottom"/>
            <w:vMerge w:val="restart"/>
          </w:tcPr>
          <w:p>
            <w:pPr>
              <w:jc w:val="right"/>
              <w:ind w:right="195"/>
              <w:spacing w:after="0"/>
              <w:rPr>
                <w:sz w:val="20"/>
                <w:szCs w:val="20"/>
                <w:color w:val="auto"/>
              </w:rPr>
            </w:pPr>
            <w:r>
              <w:rPr>
                <w:rFonts w:ascii="Arial" w:cs="Arial" w:eastAsia="Arial" w:hAnsi="Arial"/>
                <w:sz w:val="17"/>
                <w:szCs w:val="17"/>
                <w:color w:val="auto"/>
              </w:rPr>
              <w:t>$</w:t>
            </w:r>
          </w:p>
        </w:tc>
        <w:tc>
          <w:tcPr>
            <w:tcW w:w="1660" w:type="dxa"/>
            <w:vAlign w:val="bottom"/>
            <w:vMerge w:val="restart"/>
          </w:tcPr>
          <w:p>
            <w:pPr>
              <w:jc w:val="right"/>
              <w:ind w:right="55"/>
              <w:spacing w:after="0"/>
              <w:rPr>
                <w:sz w:val="20"/>
                <w:szCs w:val="20"/>
                <w:color w:val="auto"/>
              </w:rPr>
            </w:pPr>
            <w:r>
              <w:rPr>
                <w:rFonts w:ascii="Arial" w:cs="Arial" w:eastAsia="Arial" w:hAnsi="Arial"/>
                <w:sz w:val="17"/>
                <w:szCs w:val="17"/>
                <w:color w:val="auto"/>
              </w:rPr>
              <w:t>4,661,973</w:t>
            </w:r>
          </w:p>
        </w:tc>
        <w:tc>
          <w:tcPr>
            <w:tcW w:w="620" w:type="dxa"/>
            <w:vAlign w:val="bottom"/>
            <w:vMerge w:val="restart"/>
          </w:tcPr>
          <w:p>
            <w:pPr>
              <w:jc w:val="right"/>
              <w:ind w:right="375"/>
              <w:spacing w:after="0"/>
              <w:rPr>
                <w:sz w:val="20"/>
                <w:szCs w:val="20"/>
                <w:color w:val="auto"/>
              </w:rPr>
            </w:pPr>
            <w:r>
              <w:rPr>
                <w:rFonts w:ascii="Arial" w:cs="Arial" w:eastAsia="Arial" w:hAnsi="Arial"/>
                <w:sz w:val="17"/>
                <w:szCs w:val="17"/>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3,848,990</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equivalents</w:t>
            </w:r>
          </w:p>
        </w:tc>
        <w:tc>
          <w:tcPr>
            <w:tcW w:w="8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As of May 2, 2026 and May 3, 2025, the Company had $54.7 million and $29.2 million, respectively, of property and</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purchased but not yet paid. These purchases are included in Property and equipment, Accounts payable, and Accrued expenses and other in the accompanying Condensed Consolidated Balance Sheets. The Company capitalizes interest during the construction period of facilities and during the development and implementation phase of software projects.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on property and equipment for the three month periods ended May 2, 2026 and May 3, 2025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52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41"/>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132,599</w:t>
            </w:r>
          </w:p>
        </w:tc>
        <w:tc>
          <w:tcPr>
            <w:tcW w:w="94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115,938</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Operating lease assets obtained in exchange for operating lease liabilities (includes new leases and remeasurements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of existing leases) for the three month periods ended May 2, 2026 and May 3, 2025 were $189.1 million and $202.7 million, respectively.</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Supply chain finance program. </w:t>
      </w:r>
      <w:r>
        <w:rPr>
          <w:rFonts w:ascii="Arial" w:cs="Arial" w:eastAsia="Arial" w:hAnsi="Arial"/>
          <w:sz w:val="17"/>
          <w:szCs w:val="17"/>
          <w:color w:val="auto"/>
        </w:rPr>
        <w:t>The Company facilitates a voluntary supply chain finance program (“SCF program”) to provide certain suppliers</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opportunity to sell their receivables due from the Company to participating financial institutions at the sole discretion of both the suppliers and the financial institutions. A third-party financial institution administers the SCF program. The Company’s responsibility is limited to making payments on the terms originally negotiated with each supplier, regardless of whether a supplier sells its receivable to a financial institution. The Company is not a party to the agreements between the participating financial institutions and the suppliers in connection with the SCF program, and the Company does not receive financial incentives from the suppliers or the financial institutions. The Company does not provide guarantees under the SCF program, and the Company’s rights and obligations to its suppliers are not affected by the SCF program. The range of payment terms negotiated with a supplier is consistent, irrespective of whether a supplier participates in the SCF program.</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All outstanding payments owed under the SCF program are recorded within Accounts payable in the Condensed Consolidated Balance Sheets. The Company accounts for all payments made under the SCF program as a reduction to operating cash flows in Accounts payable within the Condensed Consolidated Statements of Cash Flows. The amounts owed to participating financial institutions under the SCF program and included in Accounts payable were $215.3 million, $208.2 million, and $162.2 million as of May 2, 2026, January 31, 2026, and May 3, 2025, respectively.</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Cash dividends. </w:t>
      </w:r>
      <w:r>
        <w:rPr>
          <w:rFonts w:ascii="Arial" w:cs="Arial" w:eastAsia="Arial" w:hAnsi="Arial"/>
          <w:sz w:val="17"/>
          <w:szCs w:val="17"/>
          <w:color w:val="auto"/>
        </w:rPr>
        <w:t>On May 20, 2026, the Company’s Board of Directors declared a quarterly cash dividend of $ 0.4450 per common share, payable on</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2026. The Company’s Board of Directors declared quarterly cash dividends of $0.4450 per common share in March 2026, and $0.4050 per common share in March, May, August, and November 2025.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17"/>
          <w:szCs w:val="17"/>
          <w:b w:val="1"/>
          <w:bCs w:val="1"/>
          <w:color w:val="auto"/>
        </w:rPr>
        <w:t xml:space="preserve">Stock repurchases. </w:t>
      </w:r>
      <w:r>
        <w:rPr>
          <w:rFonts w:ascii="Arial" w:cs="Arial" w:eastAsia="Arial" w:hAnsi="Arial"/>
          <w:sz w:val="17"/>
          <w:szCs w:val="17"/>
          <w:color w:val="auto"/>
        </w:rPr>
        <w:t>In March 2026, the Company’s Board of Directors approved a new, two-year stock repurchase program to repurchase up to</w:t>
      </w:r>
      <w:r>
        <w:rPr>
          <w:rFonts w:ascii="Arial" w:cs="Arial" w:eastAsia="Arial" w:hAnsi="Arial"/>
          <w:sz w:val="17"/>
          <w:szCs w:val="17"/>
          <w:b w:val="1"/>
          <w:bCs w:val="1"/>
          <w:color w:val="auto"/>
        </w:rPr>
        <w:t xml:space="preserve"> </w:t>
      </w:r>
      <w:r>
        <w:rPr>
          <w:rFonts w:ascii="Arial" w:cs="Arial" w:eastAsia="Arial" w:hAnsi="Arial"/>
          <w:sz w:val="17"/>
          <w:szCs w:val="17"/>
          <w:color w:val="auto"/>
        </w:rPr>
        <w:t>$2.55 billion of the Company’s common stock through January 29, 2028. During the three month period ended May 2, 2026, the Company repurchased 1.5 million shares of common stock for $318.7 million (excluding excise tax) under this program. As of May 2, 2026, there was $2.2 billion available for future repurchases under this program. During the three month period ended May 3, 2025, the Company repurchased 2.0 million shares of common stock for $262.5 million (excluding excise tax) under the previous publicly announced repurchase program.</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 purchased for tax withholding is considered treasury stock which is available for reissuance. During the three month periods ended May 2, 2026 and May 3, 2025, stock purchased by the Company for tax withholding totaled 0.6 million shares and 0.5 million shares, respectively.</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color w:val="auto"/>
        </w:rPr>
        <w:t>Like many retailers, the Company has been named in class/representative action lawsuits, primarily in</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alleging violations by the Company of wage and hour laws. Class/representative action litigation remained pending as of May 2, 2026.</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also party to various other legal and regulatory proceedings arising in the normal course of business. Actions filed against the Company may include commercial, product and product safety, consumer, intellectual property, environmental, and labor and employment-related claims, including lawsuits in which private plaintiffs or governmental agencies allege that the Company violated federal, state, and/or local laws. Actions against the Company are in various procedural stages. Many of these proceedings raise factual and legal issues and are subject to uncertainties.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believes that the resolution of currently pending class/representative action litigation and other currently pending legal and regulatory proceedings will not have a material adverse effect on its financial condition, results of operations, or cash flows.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February 2026, the U.S. Supreme Court issued a decision that tariffs imposed beginning in 2025 under the International Emergency Economic Powers Act (“IEEPA”) were not authorized under the statute. U.S. Customs and Border Protection has initiated a process for claiming refunds of tariffs paid under IEEPA, and the Company has submitted claims for IEEPA tariffs paid. The claims submitted remain subject to ongoing legal, regulatory, or administrative developments and the timing, amount, and availability of refunds remains uncertain. As of May 2, 2026, the Company has not recognized a receivable or gain relating to tariff refunds because realization was not assured.</w:t>
      </w:r>
    </w:p>
    <w:p>
      <w:pPr>
        <w:spacing w:after="0" w:line="19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following sales mix table disaggregates revenue by merchandise category for the three month periods ended May 2,</w:t>
      </w:r>
      <w:r>
        <w:rPr>
          <w:rFonts w:ascii="Arial" w:cs="Arial" w:eastAsia="Arial" w:hAnsi="Arial"/>
          <w:sz w:val="17"/>
          <w:szCs w:val="17"/>
          <w:b w:val="1"/>
          <w:bCs w:val="1"/>
          <w:color w:val="auto"/>
        </w:rPr>
        <w:t xml:space="preserve"> </w:t>
      </w:r>
      <w:r>
        <w:rPr>
          <w:rFonts w:ascii="Arial" w:cs="Arial" w:eastAsia="Arial" w:hAnsi="Arial"/>
          <w:sz w:val="17"/>
          <w:szCs w:val="17"/>
          <w:color w:val="auto"/>
        </w:rPr>
        <w:t>2026 and May 3,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Borders>
              <w:top w:val="single" w:sz="8" w:color="auto"/>
            </w:tcBorders>
          </w:tcPr>
          <w:p>
            <w:pPr>
              <w:spacing w:after="0"/>
              <w:rPr>
                <w:sz w:val="20"/>
                <w:szCs w:val="20"/>
                <w:color w:val="auto"/>
              </w:rPr>
            </w:pPr>
          </w:p>
        </w:tc>
        <w:tc>
          <w:tcPr>
            <w:tcW w:w="3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Borders>
              <w:top w:val="single" w:sz="8" w:color="auto"/>
              <w:bottom w:val="single" w:sz="8" w:color="auto"/>
            </w:tcBorders>
          </w:tcPr>
          <w:p>
            <w:pPr>
              <w:spacing w:after="0"/>
              <w:rPr>
                <w:sz w:val="20"/>
                <w:szCs w:val="20"/>
                <w:color w:val="auto"/>
              </w:rPr>
            </w:pPr>
          </w:p>
        </w:tc>
      </w:tr>
      <w:tr>
        <w:trPr>
          <w:trHeight w:val="261"/>
        </w:trPr>
        <w:tc>
          <w:tcPr>
            <w:tcW w:w="716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b w:val="1"/>
                <w:bCs w:val="1"/>
                <w:color w:val="auto"/>
              </w:rPr>
              <w:t>May 2, 2026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Accents and Bed and Bath</w:t>
            </w:r>
          </w:p>
        </w:tc>
        <w:tc>
          <w:tcPr>
            <w:tcW w:w="3000" w:type="dxa"/>
            <w:vAlign w:val="bottom"/>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25%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7"/>
        </w:trPr>
        <w:tc>
          <w:tcPr>
            <w:tcW w:w="7160" w:type="dxa"/>
            <w:vAlign w:val="bottom"/>
          </w:tcPr>
          <w:p>
            <w:pPr>
              <w:ind w:left="20"/>
              <w:spacing w:after="0"/>
              <w:rPr>
                <w:sz w:val="20"/>
                <w:szCs w:val="20"/>
                <w:color w:val="auto"/>
              </w:rPr>
            </w:pPr>
            <w:r>
              <w:rPr>
                <w:rFonts w:ascii="Arial" w:cs="Arial" w:eastAsia="Arial" w:hAnsi="Arial"/>
                <w:sz w:val="17"/>
                <w:szCs w:val="17"/>
                <w:color w:val="auto"/>
              </w:rPr>
              <w:t>Ladies</w:t>
            </w:r>
          </w:p>
        </w:tc>
        <w:tc>
          <w:tcPr>
            <w:tcW w:w="3000" w:type="dxa"/>
            <w:vAlign w:val="bottom"/>
          </w:tcPr>
          <w:p>
            <w:pPr>
              <w:jc w:val="right"/>
              <w:ind w:right="935"/>
              <w:spacing w:after="0"/>
              <w:rPr>
                <w:sz w:val="20"/>
                <w:szCs w:val="20"/>
                <w:color w:val="auto"/>
              </w:rPr>
            </w:pPr>
            <w:r>
              <w:rPr>
                <w:rFonts w:ascii="Arial" w:cs="Arial" w:eastAsia="Arial" w:hAnsi="Arial"/>
                <w:sz w:val="17"/>
                <w:szCs w:val="17"/>
                <w:b w:val="1"/>
                <w:bCs w:val="1"/>
                <w:color w:val="auto"/>
              </w:rPr>
              <w:t>23%</w:t>
            </w: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Accessories, Lingerie, Fine Jewelry, and Cosmetics</w:t>
            </w:r>
          </w:p>
        </w:tc>
        <w:tc>
          <w:tcPr>
            <w:tcW w:w="3000" w:type="dxa"/>
            <w:vAlign w:val="bottom"/>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7160" w:type="dxa"/>
            <w:vAlign w:val="bottom"/>
          </w:tcPr>
          <w:p>
            <w:pPr>
              <w:ind w:left="20"/>
              <w:spacing w:after="0"/>
              <w:rPr>
                <w:sz w:val="20"/>
                <w:szCs w:val="20"/>
                <w:color w:val="auto"/>
              </w:rPr>
            </w:pPr>
            <w:r>
              <w:rPr>
                <w:rFonts w:ascii="Arial" w:cs="Arial" w:eastAsia="Arial" w:hAnsi="Arial"/>
                <w:sz w:val="17"/>
                <w:szCs w:val="17"/>
                <w:color w:val="auto"/>
              </w:rPr>
              <w:t>Men’s</w:t>
            </w:r>
          </w:p>
        </w:tc>
        <w:tc>
          <w:tcPr>
            <w:tcW w:w="3000" w:type="dxa"/>
            <w:vAlign w:val="bottom"/>
          </w:tcPr>
          <w:p>
            <w:pPr>
              <w:jc w:val="right"/>
              <w:ind w:right="935"/>
              <w:spacing w:after="0"/>
              <w:rPr>
                <w:sz w:val="20"/>
                <w:szCs w:val="20"/>
                <w:color w:val="auto"/>
              </w:rPr>
            </w:pPr>
            <w:r>
              <w:rPr>
                <w:rFonts w:ascii="Arial" w:cs="Arial" w:eastAsia="Arial" w:hAnsi="Arial"/>
                <w:sz w:val="17"/>
                <w:szCs w:val="17"/>
                <w:b w:val="1"/>
                <w:bCs w:val="1"/>
                <w:color w:val="auto"/>
              </w:rPr>
              <w:t>14%</w:t>
            </w: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Shoes</w:t>
            </w:r>
          </w:p>
        </w:tc>
        <w:tc>
          <w:tcPr>
            <w:tcW w:w="3000" w:type="dxa"/>
            <w:vAlign w:val="bottom"/>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Children’s</w:t>
            </w:r>
          </w:p>
        </w:tc>
        <w:tc>
          <w:tcPr>
            <w:tcW w:w="300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b w:val="1"/>
                <w:bCs w:val="1"/>
                <w:color w:val="auto"/>
              </w:rPr>
              <w:t>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100%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b w:val="1"/>
          <w:bCs w:val="1"/>
          <w:color w:val="auto"/>
        </w:rPr>
        <w:t xml:space="preserve">Interest income, net. </w:t>
      </w:r>
      <w:r>
        <w:rPr>
          <w:rFonts w:ascii="Arial" w:cs="Arial" w:eastAsia="Arial" w:hAnsi="Arial"/>
          <w:sz w:val="17"/>
          <w:szCs w:val="17"/>
          <w:color w:val="auto"/>
        </w:rPr>
        <w:t>The table below shows the components of interest income, net for the three month periods ended May 2, 2026 and May 3,</w:t>
      </w:r>
      <w:r>
        <w:rPr>
          <w:rFonts w:ascii="Arial" w:cs="Arial" w:eastAsia="Arial" w:hAnsi="Arial"/>
          <w:sz w:val="17"/>
          <w:szCs w:val="17"/>
          <w:b w:val="1"/>
          <w:bCs w:val="1"/>
          <w:color w:val="auto"/>
        </w:rPr>
        <w:t xml:space="preserve"> </w:t>
      </w:r>
      <w:r>
        <w:rPr>
          <w:rFonts w:ascii="Arial" w:cs="Arial" w:eastAsia="Arial" w:hAnsi="Arial"/>
          <w:sz w:val="17"/>
          <w:szCs w:val="17"/>
          <w:color w:val="auto"/>
        </w:rPr>
        <w:t>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52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(41,051)</w:t>
            </w:r>
          </w:p>
        </w:tc>
        <w:tc>
          <w:tcPr>
            <w:tcW w:w="94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(46,868)</w:t>
            </w: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Arial" w:cs="Arial" w:eastAsia="Arial" w:hAnsi="Arial"/>
                <w:sz w:val="17"/>
                <w:szCs w:val="17"/>
                <w:color w:val="auto"/>
              </w:rPr>
              <w:t>Capitalized interest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(3,077)</w:t>
            </w:r>
          </w:p>
        </w:tc>
        <w:tc>
          <w:tcPr>
            <w:tcW w:w="9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(5,404)</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on long-term debt</w:t>
            </w: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10,333</w:t>
            </w: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17,463</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interest expense</w:t>
            </w: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346</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(33,449)</w:t>
            </w:r>
          </w:p>
        </w:tc>
        <w:tc>
          <w:tcPr>
            <w:tcW w:w="94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(34,409)</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November 2024, the Financial Accounting Standards Board (“FASB”) issued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Update (“ASU”) 2024-03, </w:t>
      </w:r>
      <w:r>
        <w:rPr>
          <w:rFonts w:ascii="Arial" w:cs="Arial" w:eastAsia="Arial" w:hAnsi="Arial"/>
          <w:sz w:val="17"/>
          <w:szCs w:val="17"/>
          <w:i w:val="1"/>
          <w:iCs w:val="1"/>
          <w:color w:val="auto"/>
        </w:rPr>
        <w:t>Income Statement—Reporting Comprehensive Income—Expense Disaggregation Disclosures (Subtopic 220-40)</w:t>
      </w:r>
      <w:r>
        <w:rPr>
          <w:rFonts w:ascii="Arial" w:cs="Arial" w:eastAsia="Arial" w:hAnsi="Arial"/>
          <w:sz w:val="17"/>
          <w:szCs w:val="17"/>
          <w:color w:val="auto"/>
        </w:rPr>
        <w:t xml:space="preserve">: </w:t>
      </w:r>
      <w:r>
        <w:rPr>
          <w:rFonts w:ascii="Arial" w:cs="Arial" w:eastAsia="Arial" w:hAnsi="Arial"/>
          <w:sz w:val="17"/>
          <w:szCs w:val="17"/>
          <w:i w:val="1"/>
          <w:iCs w:val="1"/>
          <w:color w:val="auto"/>
        </w:rPr>
        <w:t>Disaggregation of Income Statement Expenses</w:t>
      </w:r>
      <w:r>
        <w:rPr>
          <w:rFonts w:ascii="Arial" w:cs="Arial" w:eastAsia="Arial" w:hAnsi="Arial"/>
          <w:sz w:val="17"/>
          <w:szCs w:val="17"/>
          <w:color w:val="auto"/>
        </w:rPr>
        <w:t>. The ASU is intended to enhance transparency of income statement disclosures primarily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disaggregation of relevant expense captions. The standard is effective for annual reporting periods beginning after December 15, 2026, and interim periods within annual reporting periods beginning after December 15, 2027, with prospective or retrospective application permitted. The Company is currently evaluating the impact of this guidance on its disclosures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Fair Value Measurements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three-tier fair value hierarchy that prioritizes the inputs used in measuring fair value. The inputs used to measure fair value include: Level 1, observable inputs such as quoted prices in active markets; Level 2, inputs other than quoted prices in active markets that are either directly or indirectly observable; and Level 3, unobservable inputs in which little or no market data exists. This fair value hierarchy requires the Company to develop its own assumptions, maximize the use of observable inputs, and minimize the use of unobservable inputs when measuring fair value.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underlying assets held in Cash and cash equivalents, and restricted cash and cash equivalents include bank deposits, money market mutual funds, and U.S. Government and agency securities for which the fair value is determined using quoted prices for identical assets in active markets, which are considered Level 1 inputs. The fair values of Cash and cash equivalents, and restricted cash and cash equivalents as of May 2, 2026, January 31, 2026, and May 3, 2025 were as follows: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1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3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January 31, 2026</w:t>
            </w:r>
          </w:p>
        </w:tc>
        <w:tc>
          <w:tcPr>
            <w:tcW w:w="5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(Level 1)</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4,130,980</w:t>
            </w:r>
          </w:p>
        </w:tc>
        <w:tc>
          <w:tcPr>
            <w:tcW w:w="3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4,594,392</w:t>
            </w:r>
          </w:p>
        </w:tc>
        <w:tc>
          <w:tcPr>
            <w:tcW w:w="5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3,783,413</w:t>
            </w:r>
          </w:p>
        </w:tc>
      </w:tr>
      <w:tr>
        <w:trPr>
          <w:trHeight w:val="22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and cash equivalents (Level 1)</w:t>
            </w:r>
          </w:p>
        </w:tc>
        <w:tc>
          <w:tcPr>
            <w:tcW w:w="14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68,184</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67,581</w:t>
            </w:r>
          </w:p>
        </w:tc>
        <w:tc>
          <w:tcPr>
            <w:tcW w:w="5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65,577</w:t>
            </w:r>
          </w:p>
        </w:tc>
      </w:tr>
    </w:tbl>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May 2, 2026 and January 31, 2026, the underlying assets in the Company’s nonqualified deferred compensation program consisted of participant-directed mutual funds (Level 1) and fixed-income securities (Level 2). The mutual funds all have quoted market prices in active markets and are classified as Level 1. The fixed-income securities are measured at contract value, which represents the amount available to participants upon withdrawal and are classified as Level 2. As of May 3, 2025</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underlying assets primarily consisted of participant-directed mutual funds that had quoted market prices in active markets and were classified as Level 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The fair value of the Company’s nonqualified deferred compensation program assets (included in Other long-term assets and Other long-term liabilities on the Condensed Consolidated Balance Sheets) as of May 2, 2026, January 31, 2026, and May 3, 2025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19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4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January 31, 2026</w:t>
            </w:r>
          </w:p>
        </w:tc>
        <w:tc>
          <w:tcPr>
            <w:tcW w:w="5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 (Level 1)</w:t>
            </w:r>
          </w:p>
        </w:tc>
        <w:tc>
          <w:tcPr>
            <w:tcW w:w="194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177,384</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181,532</w:t>
            </w:r>
          </w:p>
        </w:tc>
        <w:tc>
          <w:tcPr>
            <w:tcW w:w="58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195,123</w:t>
            </w:r>
          </w:p>
        </w:tc>
      </w:tr>
      <w:tr>
        <w:trPr>
          <w:trHeight w:val="217"/>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Fixed-income securities (Level 2)</w:t>
            </w:r>
          </w:p>
        </w:tc>
        <w:tc>
          <w:tcPr>
            <w:tcW w:w="1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42,552</w:t>
            </w: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37,122</w:t>
            </w: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9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219,936</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218,654</w:t>
            </w:r>
          </w:p>
        </w:tc>
        <w:tc>
          <w:tcPr>
            <w:tcW w:w="58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195,123</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Stock-Based Compensation</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The Company grants shares of restricted stock and restricted stock units to directors, officers, and key employees. The</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of shares of restricted stock and restricted stock units at the date of grant is amortized to expense over the vesting period of generally three to five years.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Performance share awards. </w:t>
      </w:r>
      <w:r>
        <w:rPr>
          <w:rFonts w:ascii="Arial" w:cs="Arial" w:eastAsia="Arial" w:hAnsi="Arial"/>
          <w:sz w:val="17"/>
          <w:szCs w:val="17"/>
          <w:color w:val="auto"/>
        </w:rPr>
        <w:t>The Company has a performance share award program for senior executives. A performance share award represents</w:t>
      </w:r>
      <w:r>
        <w:rPr>
          <w:rFonts w:ascii="Arial" w:cs="Arial" w:eastAsia="Arial" w:hAnsi="Arial"/>
          <w:sz w:val="17"/>
          <w:szCs w:val="17"/>
          <w:b w:val="1"/>
          <w:bCs w:val="1"/>
          <w:color w:val="auto"/>
        </w:rPr>
        <w:t xml:space="preserve"> </w:t>
      </w:r>
      <w:r>
        <w:rPr>
          <w:rFonts w:ascii="Arial" w:cs="Arial" w:eastAsia="Arial" w:hAnsi="Arial"/>
          <w:sz w:val="17"/>
          <w:szCs w:val="17"/>
          <w:color w:val="auto"/>
        </w:rPr>
        <w:t>a right to receive shares of restricted stock on a specified settlement date based on the Company’s attainment of a performance goal during the performance period, which is the Company’s fiscal year. If attained, the restricted stock then vests over a service period, generally three years from the date the performance award was granted.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awards and performance awards are collectively referred to as stock awards.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awards activity for the three month period ended May 2, 2026,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34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7"/>
                <w:szCs w:val="17"/>
                <w:color w:val="auto"/>
              </w:rPr>
              <w:t>Number of</w:t>
            </w:r>
          </w:p>
        </w:tc>
        <w:tc>
          <w:tcPr>
            <w:tcW w:w="3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Weighted-average</w:t>
            </w:r>
          </w:p>
        </w:tc>
        <w:tc>
          <w:tcPr>
            <w:tcW w:w="0" w:type="dxa"/>
            <w:vAlign w:val="bottom"/>
          </w:tcPr>
          <w:p>
            <w:pPr>
              <w:spacing w:after="0"/>
              <w:rPr>
                <w:sz w:val="1"/>
                <w:szCs w:val="1"/>
                <w:color w:val="auto"/>
              </w:rPr>
            </w:pPr>
          </w:p>
        </w:tc>
      </w:tr>
      <w:tr>
        <w:trPr>
          <w:trHeight w:val="166"/>
        </w:trPr>
        <w:tc>
          <w:tcPr>
            <w:tcW w:w="73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right"/>
              <w:spacing w:after="0" w:line="167" w:lineRule="exact"/>
              <w:rPr>
                <w:sz w:val="20"/>
                <w:szCs w:val="20"/>
                <w:color w:val="auto"/>
              </w:rPr>
            </w:pPr>
            <w:r>
              <w:rPr>
                <w:rFonts w:ascii="Arial" w:cs="Arial" w:eastAsia="Arial" w:hAnsi="Arial"/>
                <w:sz w:val="17"/>
                <w:szCs w:val="17"/>
                <w:color w:val="auto"/>
              </w:rPr>
              <w:t>grant date</w:t>
            </w:r>
          </w:p>
        </w:tc>
        <w:tc>
          <w:tcPr>
            <w:tcW w:w="0" w:type="dxa"/>
            <w:vAlign w:val="bottom"/>
          </w:tcPr>
          <w:p>
            <w:pPr>
              <w:spacing w:after="0"/>
              <w:rPr>
                <w:sz w:val="1"/>
                <w:szCs w:val="1"/>
                <w:color w:val="auto"/>
              </w:rPr>
            </w:pPr>
          </w:p>
        </w:tc>
      </w:tr>
      <w:tr>
        <w:trPr>
          <w:trHeight w:val="227"/>
        </w:trPr>
        <w:tc>
          <w:tcPr>
            <w:tcW w:w="7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shares (000)</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January 31, 2026</w:t>
            </w:r>
          </w:p>
        </w:tc>
        <w:tc>
          <w:tcPr>
            <w:tcW w:w="20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3,814</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125.38</w:t>
            </w:r>
          </w:p>
        </w:tc>
        <w:tc>
          <w:tcPr>
            <w:tcW w:w="0" w:type="dxa"/>
            <w:vAlign w:val="bottom"/>
          </w:tcPr>
          <w:p>
            <w:pPr>
              <w:spacing w:after="0"/>
              <w:rPr>
                <w:sz w:val="1"/>
                <w:szCs w:val="1"/>
                <w:color w:val="auto"/>
              </w:rPr>
            </w:pPr>
          </w:p>
        </w:tc>
      </w:tr>
      <w:tr>
        <w:trPr>
          <w:trHeight w:val="217"/>
        </w:trPr>
        <w:tc>
          <w:tcPr>
            <w:tcW w:w="7340" w:type="dxa"/>
            <w:vAlign w:val="bottom"/>
          </w:tcPr>
          <w:p>
            <w:pPr>
              <w:ind w:left="220"/>
              <w:spacing w:after="0"/>
              <w:rPr>
                <w:sz w:val="20"/>
                <w:szCs w:val="20"/>
                <w:color w:val="auto"/>
              </w:rPr>
            </w:pPr>
            <w:r>
              <w:rPr>
                <w:rFonts w:ascii="Arial" w:cs="Arial" w:eastAsia="Arial" w:hAnsi="Arial"/>
                <w:sz w:val="17"/>
                <w:szCs w:val="17"/>
                <w:color w:val="auto"/>
              </w:rPr>
              <w:t>Awarded</w:t>
            </w:r>
          </w:p>
        </w:tc>
        <w:tc>
          <w:tcPr>
            <w:tcW w:w="2000" w:type="dxa"/>
            <w:vAlign w:val="bottom"/>
          </w:tcPr>
          <w:p>
            <w:pPr>
              <w:jc w:val="right"/>
              <w:ind w:right="95"/>
              <w:spacing w:after="0"/>
              <w:rPr>
                <w:sz w:val="20"/>
                <w:szCs w:val="20"/>
                <w:color w:val="auto"/>
              </w:rPr>
            </w:pPr>
            <w:r>
              <w:rPr>
                <w:rFonts w:ascii="Arial" w:cs="Arial" w:eastAsia="Arial" w:hAnsi="Arial"/>
                <w:sz w:val="17"/>
                <w:szCs w:val="17"/>
                <w:color w:val="auto"/>
              </w:rPr>
              <w:t>598</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211.93</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Released</w:t>
            </w:r>
          </w:p>
        </w:tc>
        <w:tc>
          <w:tcPr>
            <w:tcW w:w="2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(1,356)</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114.28</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w:t>
            </w:r>
          </w:p>
        </w:tc>
        <w:tc>
          <w:tcPr>
            <w:tcW w:w="2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(53)</w:t>
            </w:r>
          </w:p>
        </w:tc>
        <w:tc>
          <w:tcPr>
            <w:tcW w:w="3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137.96</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at May 2, 2026</w:t>
            </w:r>
          </w:p>
        </w:tc>
        <w:tc>
          <w:tcPr>
            <w:tcW w:w="2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3,003</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147.40</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unamortized stock award compensation expense at May 2, 2026 and May 3, 2025 was $271.4 million and $260.3 million, respectively, which are each expected to be recognized over a weighted-average remaining period of 2.1 years.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Under the Employee Stock Purchase Plan (“ESPP”), eligible employees participating in the quarterly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period can choose to have up to the lesser of 10% of their annual base earnings or the Internal Revenue Service (“IRS”) annual share purchase limit of $25,000 in aggregate market value to purchase the Company’s common stock. The purchase price of the stock is 85% of the closing market price on the date of purchase. Purchases occur on a quarterly basis (on the last trading day of each calendar quarter). The Company recognizes expense for ESPP purchase rights equal to the value of the 15% discount given on the purchase date.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For the three month periods ended May 2, 2026 and May 3, 2025, the Company recognized stock-based compensation expense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540" w:type="dxa"/>
            <w:vAlign w:val="bottom"/>
            <w:tcBorders>
              <w:top w:val="single" w:sz="8" w:color="auto"/>
              <w:bottom w:val="single" w:sz="8" w:color="auto"/>
            </w:tcBorders>
          </w:tcPr>
          <w:p>
            <w:pPr>
              <w:spacing w:after="0"/>
              <w:rPr>
                <w:sz w:val="20"/>
                <w:szCs w:val="20"/>
                <w:color w:val="auto"/>
              </w:rPr>
            </w:pPr>
          </w:p>
        </w:tc>
        <w:tc>
          <w:tcPr>
            <w:tcW w:w="2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24,546</w:t>
            </w:r>
          </w:p>
        </w:tc>
        <w:tc>
          <w:tcPr>
            <w:tcW w:w="90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26,349</w:t>
            </w:r>
          </w:p>
        </w:tc>
        <w:tc>
          <w:tcPr>
            <w:tcW w:w="0" w:type="dxa"/>
            <w:vAlign w:val="bottom"/>
          </w:tcPr>
          <w:p>
            <w:pPr>
              <w:spacing w:after="0"/>
              <w:rPr>
                <w:sz w:val="1"/>
                <w:szCs w:val="1"/>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7"/>
                <w:szCs w:val="17"/>
                <w:color w:val="auto"/>
              </w:rPr>
              <w:t>Performance awards</w:t>
            </w:r>
          </w:p>
        </w:tc>
        <w:tc>
          <w:tcPr>
            <w:tcW w:w="54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33,405</w:t>
            </w:r>
          </w:p>
        </w:tc>
        <w:tc>
          <w:tcPr>
            <w:tcW w:w="9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11,862</w:t>
            </w:r>
          </w:p>
        </w:tc>
        <w:tc>
          <w:tcPr>
            <w:tcW w:w="0" w:type="dxa"/>
            <w:vAlign w:val="bottom"/>
          </w:tcPr>
          <w:p>
            <w:pPr>
              <w:spacing w:after="0"/>
              <w:rPr>
                <w:sz w:val="1"/>
                <w:szCs w:val="1"/>
                <w:color w:val="auto"/>
              </w:rPr>
            </w:pPr>
          </w:p>
        </w:tc>
      </w:tr>
      <w:tr>
        <w:trPr>
          <w:trHeight w:val="217"/>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5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1,169</w:t>
            </w:r>
          </w:p>
        </w:tc>
        <w:tc>
          <w:tcPr>
            <w:tcW w:w="9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59,120</w:t>
            </w:r>
          </w:p>
        </w:tc>
        <w:tc>
          <w:tcPr>
            <w:tcW w:w="90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39,296</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stock-based compensation expense recognized in the Company’s Condensed Consolidated Statements of Earnings for the three month periods ended May 2, 2026 and May 3, 2025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Statements of Earnings Classification ($000)</w:t>
            </w:r>
          </w:p>
        </w:tc>
        <w:tc>
          <w:tcPr>
            <w:tcW w:w="54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22,174</w:t>
            </w:r>
          </w:p>
        </w:tc>
        <w:tc>
          <w:tcPr>
            <w:tcW w:w="92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17,603</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36,946</w:t>
            </w: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21,693</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59,120</w:t>
            </w:r>
          </w:p>
        </w:tc>
        <w:tc>
          <w:tcPr>
            <w:tcW w:w="92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39,296</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tax benefits related to stock-based compensation expense for the three month periods ended May 2, 2026 and May 3, 2025 were $10.2 million and $6.6 million, respectively.</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2026 Equity Incentive Plan. </w:t>
      </w:r>
      <w:r>
        <w:rPr>
          <w:rFonts w:ascii="Arial" w:cs="Arial" w:eastAsia="Arial" w:hAnsi="Arial"/>
          <w:sz w:val="17"/>
          <w:szCs w:val="17"/>
          <w:color w:val="auto"/>
        </w:rPr>
        <w:t>At the Company’s Annual Meeting on May 20, 2026, the stockholders approved the Ross Stores, Inc. 2026 Equity</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(“2026 Plan”) which replaced the Company’s 2017 Equity Incentive Plan (“Predecessor Plan”). The 2026 Plan is authorized to have an initial reserve of approximately 15.8 million shares (subject to adjustment in accordance with the plan). The initial reserve represents an increase of 9.0 million shares from the total number of shares that remained available for issuance under the Predecessor Plan. The 2026 Plan became immediately effective upon approval and no further awards will be granted under the Predecessor Plan, which was terminated.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Earnings Per Share</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computes and reports both basic earnings per share (“EPS”) and diluted EPS. Basic EPS is computed by dividing net earnings by the weighted-average number of common shares outstanding for the period. Diluted EPS is computed by dividing net earnings by the sum of the weighted-average number of common shares and dilutive common stock equivalents outstanding during the period. Diluted EPS reflects the total potential dilution that could occur from outstanding equity plan awards and unvested shares of both performance and non-performance based awards of restricted stock and restricted stock units.</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Shares are excluded from the calculation of diluted EPS if their effect would have been anti-dilutive to the calculation of diluted EPS. For the three month period ended May 2, 2026, weighted-average shares with an anti-dilutive effect were not material. For the three month period ended May 3, 2025, approximately 286,000 weighted-average shares were excluded from the calculation of diluted EPS.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following is a reconciliation of the number of shares (denominator) used in the basic and diluted EPS computations: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Borders>
              <w:top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8"/>
              </w:rPr>
              <w:t>Three Months Ended</w:t>
            </w:r>
          </w:p>
        </w:tc>
        <w:tc>
          <w:tcPr>
            <w:tcW w:w="5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jc w:val="right"/>
              <w:spacing w:after="0" w:line="159" w:lineRule="exact"/>
              <w:rPr>
                <w:sz w:val="20"/>
                <w:szCs w:val="20"/>
                <w:color w:val="auto"/>
              </w:rPr>
            </w:pPr>
            <w:r>
              <w:rPr>
                <w:rFonts w:ascii="Arial" w:cs="Arial" w:eastAsia="Arial" w:hAnsi="Arial"/>
                <w:sz w:val="17"/>
                <w:szCs w:val="17"/>
                <w:color w:val="auto"/>
              </w:rPr>
              <w:t>Effect of dilutive</w:t>
            </w: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40" w:type="dxa"/>
            <w:vAlign w:val="bottom"/>
            <w:vMerge w:val="restart"/>
          </w:tcPr>
          <w:p>
            <w:pPr>
              <w:ind w:left="20"/>
              <w:spacing w:after="0"/>
              <w:rPr>
                <w:sz w:val="20"/>
                <w:szCs w:val="20"/>
                <w:color w:val="auto"/>
              </w:rPr>
            </w:pPr>
            <w:r>
              <w:rPr>
                <w:rFonts w:ascii="Arial" w:cs="Arial" w:eastAsia="Arial" w:hAnsi="Arial"/>
                <w:sz w:val="17"/>
                <w:szCs w:val="17"/>
                <w:color w:val="auto"/>
              </w:rPr>
              <w:t>Shares in (000s)</w:t>
            </w:r>
          </w:p>
        </w:tc>
        <w:tc>
          <w:tcPr>
            <w:tcW w:w="6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Basic EPS</w:t>
            </w:r>
          </w:p>
        </w:tc>
        <w:tc>
          <w:tcPr>
            <w:tcW w:w="160" w:type="dxa"/>
            <w:vAlign w:val="bottom"/>
          </w:tcPr>
          <w:p>
            <w:pPr>
              <w:spacing w:after="0"/>
              <w:rPr>
                <w:sz w:val="15"/>
                <w:szCs w:val="15"/>
                <w:color w:val="auto"/>
              </w:rPr>
            </w:pPr>
          </w:p>
        </w:tc>
        <w:tc>
          <w:tcPr>
            <w:tcW w:w="1840" w:type="dxa"/>
            <w:vAlign w:val="bottom"/>
          </w:tcPr>
          <w:p>
            <w:pPr>
              <w:jc w:val="right"/>
              <w:spacing w:after="0" w:line="175" w:lineRule="exact"/>
              <w:rPr>
                <w:sz w:val="20"/>
                <w:szCs w:val="20"/>
                <w:color w:val="auto"/>
              </w:rPr>
            </w:pPr>
            <w:r>
              <w:rPr>
                <w:rFonts w:ascii="Arial" w:cs="Arial" w:eastAsia="Arial" w:hAnsi="Arial"/>
                <w:sz w:val="17"/>
                <w:szCs w:val="17"/>
                <w:color w:val="auto"/>
              </w:rPr>
              <w:t>common stock</w:t>
            </w:r>
          </w:p>
        </w:tc>
        <w:tc>
          <w:tcPr>
            <w:tcW w:w="5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Diluted EPS</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equivalents</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May 2, 2026</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20"/>
              <w:spacing w:after="0"/>
              <w:rPr>
                <w:sz w:val="20"/>
                <w:szCs w:val="20"/>
                <w:color w:val="auto"/>
              </w:rPr>
            </w:pPr>
            <w:r>
              <w:rPr>
                <w:rFonts w:ascii="Arial" w:cs="Arial" w:eastAsia="Arial" w:hAnsi="Arial"/>
                <w:sz w:val="17"/>
                <w:szCs w:val="17"/>
                <w:b w:val="1"/>
                <w:bCs w:val="1"/>
                <w:color w:val="auto"/>
              </w:rPr>
              <w:t>Shares</w:t>
            </w:r>
          </w:p>
        </w:tc>
        <w:tc>
          <w:tcPr>
            <w:tcW w:w="60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b w:val="1"/>
                <w:bCs w:val="1"/>
                <w:color w:val="auto"/>
              </w:rPr>
              <w:t>318,957</w:t>
            </w:r>
          </w:p>
        </w:tc>
        <w:tc>
          <w:tcPr>
            <w:tcW w:w="160" w:type="dxa"/>
            <w:vAlign w:val="bottom"/>
          </w:tcPr>
          <w:p>
            <w:pPr>
              <w:spacing w:after="0"/>
              <w:rPr>
                <w:sz w:val="18"/>
                <w:szCs w:val="18"/>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b w:val="1"/>
                <w:bCs w:val="1"/>
                <w:color w:val="auto"/>
              </w:rPr>
              <w:t>2,274</w:t>
            </w: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321,231</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jc w:val="center"/>
              <w:ind w:right="4175"/>
              <w:spacing w:after="0"/>
              <w:rPr>
                <w:sz w:val="20"/>
                <w:szCs w:val="20"/>
                <w:color w:val="auto"/>
              </w:rPr>
            </w:pPr>
            <w:r>
              <w:rPr>
                <w:rFonts w:ascii="Arial" w:cs="Arial" w:eastAsia="Arial" w:hAnsi="Arial"/>
                <w:sz w:val="17"/>
                <w:szCs w:val="17"/>
                <w:b w:val="1"/>
                <w:bCs w:val="1"/>
                <w:color w:val="auto"/>
                <w:w w:val="99"/>
              </w:rPr>
              <w:t>Amount</w:t>
            </w:r>
          </w:p>
        </w:tc>
        <w:tc>
          <w:tcPr>
            <w:tcW w:w="600" w:type="dxa"/>
            <w:vAlign w:val="bottom"/>
            <w:shd w:val="clear" w:color="auto" w:fill="CCEEFF"/>
          </w:tcPr>
          <w:p>
            <w:pPr>
              <w:jc w:val="right"/>
              <w:ind w:right="395"/>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2.04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58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2.02</w:t>
            </w: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May 3, 2025</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Pr>
          <w:p>
            <w:pPr>
              <w:jc w:val="center"/>
              <w:ind w:right="4195"/>
              <w:spacing w:after="0"/>
              <w:rPr>
                <w:sz w:val="20"/>
                <w:szCs w:val="20"/>
                <w:color w:val="auto"/>
              </w:rPr>
            </w:pPr>
            <w:r>
              <w:rPr>
                <w:rFonts w:ascii="Arial" w:cs="Arial" w:eastAsia="Arial" w:hAnsi="Arial"/>
                <w:sz w:val="17"/>
                <w:szCs w:val="17"/>
                <w:color w:val="auto"/>
              </w:rPr>
              <w:t>Shares</w:t>
            </w:r>
          </w:p>
        </w:tc>
        <w:tc>
          <w:tcPr>
            <w:tcW w:w="60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324,877</w:t>
            </w:r>
          </w:p>
        </w:tc>
        <w:tc>
          <w:tcPr>
            <w:tcW w:w="160" w:type="dxa"/>
            <w:vAlign w:val="bottom"/>
          </w:tcPr>
          <w:p>
            <w:pPr>
              <w:spacing w:after="0"/>
              <w:rPr>
                <w:sz w:val="18"/>
                <w:szCs w:val="18"/>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2,128</w:t>
            </w: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327,005</w:t>
            </w:r>
          </w:p>
        </w:tc>
        <w:tc>
          <w:tcPr>
            <w:tcW w:w="0" w:type="dxa"/>
            <w:vAlign w:val="bottom"/>
          </w:tcPr>
          <w:p>
            <w:pPr>
              <w:spacing w:after="0"/>
              <w:rPr>
                <w:sz w:val="1"/>
                <w:szCs w:val="1"/>
                <w:color w:val="auto"/>
              </w:rPr>
            </w:pPr>
          </w:p>
        </w:tc>
      </w:tr>
      <w:tr>
        <w:trPr>
          <w:trHeight w:val="217"/>
        </w:trPr>
        <w:tc>
          <w:tcPr>
            <w:tcW w:w="5340" w:type="dxa"/>
            <w:vAlign w:val="bottom"/>
            <w:tcBorders>
              <w:bottom w:val="single" w:sz="8" w:color="auto"/>
            </w:tcBorders>
            <w:shd w:val="clear" w:color="auto" w:fill="CCEEFF"/>
          </w:tcPr>
          <w:p>
            <w:pPr>
              <w:jc w:val="center"/>
              <w:ind w:right="4175"/>
              <w:spacing w:after="0"/>
              <w:rPr>
                <w:sz w:val="20"/>
                <w:szCs w:val="20"/>
                <w:color w:val="auto"/>
              </w:rPr>
            </w:pPr>
            <w:r>
              <w:rPr>
                <w:rFonts w:ascii="Arial" w:cs="Arial" w:eastAsia="Arial" w:hAnsi="Arial"/>
                <w:sz w:val="17"/>
                <w:szCs w:val="17"/>
                <w:color w:val="auto"/>
              </w:rPr>
              <w:t>Amount</w:t>
            </w:r>
          </w:p>
        </w:tc>
        <w:tc>
          <w:tcPr>
            <w:tcW w:w="6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58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Debt</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Unsecured senior debt (the “Senior Notes”), net of unamortized discounts and debt issuance costs, as of May 2, 2026, January 31,</w:t>
      </w:r>
      <w:r>
        <w:rPr>
          <w:rFonts w:ascii="Arial" w:cs="Arial" w:eastAsia="Arial" w:hAnsi="Arial"/>
          <w:sz w:val="17"/>
          <w:szCs w:val="17"/>
          <w:b w:val="1"/>
          <w:bCs w:val="1"/>
          <w:color w:val="auto"/>
        </w:rPr>
        <w:t xml:space="preserve"> </w:t>
      </w:r>
      <w:r>
        <w:rPr>
          <w:rFonts w:ascii="Arial" w:cs="Arial" w:eastAsia="Arial" w:hAnsi="Arial"/>
          <w:sz w:val="17"/>
          <w:szCs w:val="17"/>
          <w:color w:val="auto"/>
        </w:rPr>
        <w:t>2026, and May 3, 2025,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0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4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January 31, 2026</w:t>
            </w:r>
          </w:p>
        </w:tc>
        <w:tc>
          <w:tcPr>
            <w:tcW w:w="5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r>
      <w:tr>
        <w:trPr>
          <w:trHeight w:val="210"/>
        </w:trPr>
        <w:tc>
          <w:tcPr>
            <w:tcW w:w="3880" w:type="dxa"/>
            <w:vAlign w:val="bottom"/>
          </w:tcPr>
          <w:p>
            <w:pPr>
              <w:ind w:left="20"/>
              <w:spacing w:after="0"/>
              <w:rPr>
                <w:sz w:val="20"/>
                <w:szCs w:val="20"/>
                <w:color w:val="auto"/>
              </w:rPr>
            </w:pPr>
            <w:r>
              <w:rPr>
                <w:rFonts w:ascii="Arial" w:cs="Arial" w:eastAsia="Arial" w:hAnsi="Arial"/>
                <w:sz w:val="17"/>
                <w:szCs w:val="17"/>
                <w:color w:val="auto"/>
              </w:rPr>
              <w:t>0.875% Senior Notes due 2026</w:t>
            </w:r>
          </w:p>
        </w:tc>
        <w:tc>
          <w:tcPr>
            <w:tcW w:w="2000" w:type="dxa"/>
            <w:vAlign w:val="bottom"/>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499,743</w:t>
            </w:r>
          </w:p>
        </w:tc>
        <w:tc>
          <w:tcPr>
            <w:tcW w:w="58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498,812</w:t>
            </w: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4.700% Senior Notes due 2027</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241,344</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241,230</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240,890</w:t>
            </w:r>
          </w:p>
        </w:tc>
      </w:tr>
      <w:tr>
        <w:trPr>
          <w:trHeight w:val="217"/>
        </w:trPr>
        <w:tc>
          <w:tcPr>
            <w:tcW w:w="3880" w:type="dxa"/>
            <w:vAlign w:val="bottom"/>
          </w:tcPr>
          <w:p>
            <w:pPr>
              <w:ind w:left="20"/>
              <w:spacing w:after="0"/>
              <w:rPr>
                <w:sz w:val="20"/>
                <w:szCs w:val="20"/>
                <w:color w:val="auto"/>
              </w:rPr>
            </w:pPr>
            <w:r>
              <w:rPr>
                <w:rFonts w:ascii="Arial" w:cs="Arial" w:eastAsia="Arial" w:hAnsi="Arial"/>
                <w:sz w:val="17"/>
                <w:szCs w:val="17"/>
                <w:color w:val="auto"/>
              </w:rPr>
              <w:t>4.800% Senior Notes due 2030</w:t>
            </w:r>
          </w:p>
        </w:tc>
        <w:tc>
          <w:tcPr>
            <w:tcW w:w="200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133,179</w:t>
            </w:r>
          </w:p>
        </w:tc>
        <w:tc>
          <w:tcPr>
            <w:tcW w:w="400" w:type="dxa"/>
            <w:vAlign w:val="bottom"/>
          </w:tcPr>
          <w:p>
            <w:pPr>
              <w:spacing w:after="0"/>
              <w:rPr>
                <w:sz w:val="18"/>
                <w:szCs w:val="18"/>
                <w:color w:val="auto"/>
              </w:rPr>
            </w:pP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133,134</w:t>
            </w: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132,998</w:t>
            </w: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1.875% Senior Notes due 2031</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497,106</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496,962</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496,533</w:t>
            </w:r>
          </w:p>
        </w:tc>
      </w:tr>
      <w:tr>
        <w:trPr>
          <w:trHeight w:val="21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5.450% Senior Notes due 2050</w:t>
            </w:r>
          </w:p>
        </w:tc>
        <w:tc>
          <w:tcPr>
            <w:tcW w:w="2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146,558</w:t>
            </w: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146,537</w:t>
            </w: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146,476</w:t>
            </w:r>
          </w:p>
        </w:tc>
      </w:tr>
      <w:tr>
        <w:trPr>
          <w:trHeight w:val="216"/>
        </w:trPr>
        <w:tc>
          <w:tcPr>
            <w:tcW w:w="3880" w:type="dxa"/>
            <w:vAlign w:val="bottom"/>
            <w:tcBorders>
              <w:bottom w:val="single" w:sz="8" w:color="auto"/>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 long-term debt</w:t>
            </w:r>
            <w:r>
              <w:rPr>
                <w:rFonts w:ascii="Arial" w:cs="Arial" w:eastAsia="Arial" w:hAnsi="Arial"/>
                <w:sz w:val="22"/>
                <w:szCs w:val="22"/>
                <w:color w:val="auto"/>
                <w:vertAlign w:val="superscript"/>
              </w:rPr>
              <w:t>1</w:t>
            </w:r>
          </w:p>
        </w:tc>
        <w:tc>
          <w:tcPr>
            <w:tcW w:w="20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1,018,187</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1,517,606</w:t>
            </w:r>
          </w:p>
        </w:tc>
        <w:tc>
          <w:tcPr>
            <w:tcW w:w="58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1,515,709</w:t>
            </w:r>
          </w:p>
        </w:tc>
      </w:tr>
      <w:tr>
        <w:trPr>
          <w:trHeight w:val="243"/>
        </w:trPr>
        <w:tc>
          <w:tcPr>
            <w:tcW w:w="38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7"/>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20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241,344</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499,743</w:t>
            </w:r>
          </w:p>
        </w:tc>
        <w:tc>
          <w:tcPr>
            <w:tcW w:w="58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498,812</w:t>
            </w:r>
          </w:p>
        </w:tc>
      </w:tr>
      <w:tr>
        <w:trPr>
          <w:trHeight w:val="21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due beyond one year</w:t>
            </w:r>
          </w:p>
        </w:tc>
        <w:tc>
          <w:tcPr>
            <w:tcW w:w="2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776,843</w:t>
            </w:r>
          </w:p>
        </w:tc>
        <w:tc>
          <w:tcPr>
            <w:tcW w:w="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1,017,863</w:t>
            </w:r>
          </w:p>
        </w:tc>
        <w:tc>
          <w:tcPr>
            <w:tcW w:w="5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1,016,897</w:t>
            </w:r>
          </w:p>
        </w:tc>
      </w:tr>
    </w:tbl>
    <w:p>
      <w:pPr>
        <w:spacing w:after="0" w:line="67" w:lineRule="exact"/>
        <w:rPr>
          <w:sz w:val="20"/>
          <w:szCs w:val="20"/>
          <w:color w:val="auto"/>
        </w:rPr>
      </w:pPr>
    </w:p>
    <w:p>
      <w:pPr>
        <w:ind w:left="100" w:hanging="81"/>
        <w:spacing w:after="0"/>
        <w:tabs>
          <w:tab w:leader="none" w:pos="10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Net of unamortized discounts and debt issuance costs of $6.8 million, $7.4 million, and $9.3 million as of May 2, 2026, January 31, 2026, and May 3, 2025,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Interest on all Senior Notes is payable semi-annually and the Senior Notes are subject to prepayment penalties for early payment of principal.</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2026, the Company repaid at maturity the $500 million principal amount of the 0.875% Senior Notes. In April 2025, the Company repaid at maturity the $700 million principal amount of the 4.600% Senior Notes.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aggregate fair value of the remaining four outstanding series of Senior Notes was approximately $1.0 billion as of May 2, 2026. The aggregate fair values of the five then outstanding series of Senior Notes were approximately $1.5 billion and $1.4 billion as of January 31, 2026 and May 3, 2025, respectively. The fair value is estimated by obtaining comparable market quotes, which are considered to be Level 1 inputs under the fair value measurements and disclosures guidance.</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Revolving credit facility. </w:t>
      </w:r>
      <w:r>
        <w:rPr>
          <w:rFonts w:ascii="Arial" w:cs="Arial" w:eastAsia="Arial" w:hAnsi="Arial"/>
          <w:sz w:val="17"/>
          <w:szCs w:val="17"/>
          <w:color w:val="auto"/>
        </w:rPr>
        <w:t>The Company’s $1.3 billion senior unsecured revolving credit facility (“Credit Facility”) expires in June 2030 and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extended at the Company’s request for up to two additional one-year periods subject to customary conditions. The Credit Facility contains a $300 million sublimit for issuance of standby letters of credit. It also contains an option allowing the Company to increase the size of its Credit Facility by up to an additional $700 million, with the agreement of the committing lenders. Interest on borrowings under this Credit Facility is a term rate based on the Secured Overnight Financing Rate (“Term SOFR”) (or an alternate benchmark rate, if Term SOFR is no longer available) plus an applicable margin, and is payable quarterly and upon maturity.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7"/>
          <w:szCs w:val="17"/>
          <w:color w:val="auto"/>
        </w:rPr>
        <w:t>The Credit Facility is subject to a quarterly Consolidated Adjusted Debt to Consolidated Earnings before Interest, Income Tax, Depreciation, Amortization, and Lease Expense (“EBITDAR”) financial leverage ratio covenant. As of May 2, 2026, the Company was in compliance with the financial covenant, had no borrowings or standby letters of credit outstanding under the Credit Facility, and the $1.3 billion Credit Facility remained in place and available.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 Taxes on Earnings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effective tax rates for the three month periods ended May 2, 2026 and May 3, 2025 were approximately 22.4% and 25.2%, respectively. The decrease of 2.8% in the effective tax rate for the first quarter of fiscal 2026 compared to the first quarter of fiscal 2025 was primarily due to the tax effects associated with stock-based compensation. The Company’s effective tax rate represents the applicable combined federal and state statutory rates reduced by the federal benefit of state taxes deductible on federal returns. The Company’s effective tax rate is impacted by changes in tax laws and accounting guidance, location of new stores, level of earnings, tax effects associated with stock-based compensation, and the resolution of tax positions with various tax authorities.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May 2, 2026, January 31, 2026, and May 3, 2025, the reserves for unrecognized tax benefits were $65.3 million, $61.3 million, and $64.9 million, inclusive of $8.1 million, $7.2 million, and $9.0 million of related interest and penalties, respectively. The Company accounts for interest and penalties related to unrecognized tax benefits as a part of its provision for taxes on earnings. If recognized, $52.0 million would impact the Company’s effective tax rate. The difference between the total amount of unrecognized tax benefits and the amounts that would impact the effective tax rate relates to amounts attributable to deferred income tax assets and liabilities. These amounts are net of federal and state income taxes.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open to audit by the IRS under the statute of limitations for fiscal years 2022 through 2025. The Company’s state income tax returns are generally open to audit under the various statutes of limitations for fiscal years 2021 through 2025. Certain state tax returns are currently under audit by various tax authorities. The Company does not expect the results of these audits to have a material impact on the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Segment Reporting</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two operating segments: Ross and dd’s DISCOUNTS. The operations of each operating segment include only activities related to off-price retailing in stores throughout the United States and its territories. The Company determined that the two operating segments share similar economic and other qualitative characteristics and are therefore aggregated into one reportable segment.</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considers operating income, defined as earnings before interest and taxes, to be the measure of profit or loss for its reportable segment. The measure of segment assets is reported on the Condensed Consolidated Balance Sheets as Total assets. Segment information is prepared on the same basis that the Company’s Chief Executive Officer, who is the Chief Operating Decision Maker (“CODM”), manages the segments. The CODM uses operating income to monitor budget versus actual results, make key operating decisions, perform competitive analysis to the Company’s peers, and make resource allocation decisions.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7"/>
          <w:szCs w:val="17"/>
          <w:color w:val="auto"/>
        </w:rPr>
        <w:t>The financial information below, including the significant expense categories regularly provided to the CODM, is presented for the Company’s reportable segment for the three month periods ended May 2, 2026 and May 3,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54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6,010,476</w:t>
            </w:r>
          </w:p>
        </w:tc>
        <w:tc>
          <w:tcPr>
            <w:tcW w:w="92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4,984,971</w:t>
            </w:r>
          </w:p>
        </w:tc>
        <w:tc>
          <w:tcPr>
            <w:tcW w:w="0" w:type="dxa"/>
            <w:vAlign w:val="bottom"/>
          </w:tcPr>
          <w:p>
            <w:pPr>
              <w:spacing w:after="0"/>
              <w:rPr>
                <w:sz w:val="1"/>
                <w:szCs w:val="1"/>
                <w:color w:val="auto"/>
              </w:rPr>
            </w:pPr>
          </w:p>
        </w:tc>
      </w:tr>
      <w:tr>
        <w:trPr>
          <w:trHeight w:val="256"/>
        </w:trPr>
        <w:tc>
          <w:tcPr>
            <w:tcW w:w="7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0"/>
              <w:spacing w:after="0" w:line="218" w:lineRule="exact"/>
              <w:rPr>
                <w:sz w:val="20"/>
                <w:szCs w:val="20"/>
                <w:color w:val="auto"/>
              </w:rPr>
            </w:pPr>
            <w:r>
              <w:rPr>
                <w:rFonts w:ascii="Arial" w:cs="Arial" w:eastAsia="Arial" w:hAnsi="Arial"/>
                <w:sz w:val="17"/>
                <w:szCs w:val="17"/>
                <w:b w:val="1"/>
                <w:bCs w:val="1"/>
                <w:color w:val="auto"/>
              </w:rPr>
              <w:t>Costs and Expenses</w:t>
            </w:r>
            <w:r>
              <w:rPr>
                <w:rFonts w:ascii="Arial" w:cs="Arial" w:eastAsia="Arial" w:hAnsi="Arial"/>
                <w:sz w:val="22"/>
                <w:szCs w:val="22"/>
                <w:b w:val="1"/>
                <w:bCs w:val="1"/>
                <w:color w:val="auto"/>
                <w:vertAlign w:val="superscript"/>
              </w:rPr>
              <w:t>1</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40" w:type="dxa"/>
            <w:vAlign w:val="bottom"/>
          </w:tcPr>
          <w:p>
            <w:pPr>
              <w:ind w:left="220"/>
              <w:spacing w:after="0" w:line="218" w:lineRule="exact"/>
              <w:rPr>
                <w:sz w:val="20"/>
                <w:szCs w:val="20"/>
                <w:color w:val="auto"/>
              </w:rPr>
            </w:pPr>
            <w:r>
              <w:rPr>
                <w:rFonts w:ascii="Arial" w:cs="Arial" w:eastAsia="Arial" w:hAnsi="Arial"/>
                <w:sz w:val="17"/>
                <w:szCs w:val="17"/>
                <w:color w:val="auto"/>
              </w:rPr>
              <w:t>Cost of goods sold, excluding occupancy costs</w:t>
            </w:r>
            <w:r>
              <w:rPr>
                <w:rFonts w:ascii="Arial" w:cs="Arial" w:eastAsia="Arial" w:hAnsi="Arial"/>
                <w:sz w:val="22"/>
                <w:szCs w:val="22"/>
                <w:color w:val="auto"/>
                <w:vertAlign w:val="superscript"/>
              </w:rPr>
              <w:t>2</w:t>
            </w:r>
          </w:p>
        </w:tc>
        <w:tc>
          <w:tcPr>
            <w:tcW w:w="54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3,873,957</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3,254,651</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20"/>
              <w:spacing w:after="0" w:line="218" w:lineRule="exact"/>
              <w:rPr>
                <w:sz w:val="20"/>
                <w:szCs w:val="20"/>
                <w:color w:val="auto"/>
              </w:rPr>
            </w:pPr>
            <w:r>
              <w:rPr>
                <w:rFonts w:ascii="Arial" w:cs="Arial" w:eastAsia="Arial" w:hAnsi="Arial"/>
                <w:sz w:val="17"/>
                <w:szCs w:val="17"/>
                <w:color w:val="auto"/>
              </w:rPr>
              <w:t>Occupancy costs</w:t>
            </w:r>
            <w:r>
              <w:rPr>
                <w:rFonts w:ascii="Arial" w:cs="Arial" w:eastAsia="Arial" w:hAnsi="Arial"/>
                <w:sz w:val="22"/>
                <w:szCs w:val="22"/>
                <w:color w:val="auto"/>
                <w:vertAlign w:val="superscript"/>
              </w:rPr>
              <w:t>3</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356,632</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326,715</w:t>
            </w:r>
          </w:p>
        </w:tc>
        <w:tc>
          <w:tcPr>
            <w:tcW w:w="0" w:type="dxa"/>
            <w:vAlign w:val="bottom"/>
          </w:tcPr>
          <w:p>
            <w:pPr>
              <w:spacing w:after="0"/>
              <w:rPr>
                <w:sz w:val="1"/>
                <w:szCs w:val="1"/>
                <w:color w:val="auto"/>
              </w:rPr>
            </w:pPr>
          </w:p>
        </w:tc>
      </w:tr>
      <w:tr>
        <w:trPr>
          <w:trHeight w:val="217"/>
        </w:trPr>
        <w:tc>
          <w:tcPr>
            <w:tcW w:w="7340" w:type="dxa"/>
            <w:vAlign w:val="bottom"/>
          </w:tcPr>
          <w:p>
            <w:pPr>
              <w:ind w:left="220"/>
              <w:spacing w:after="0" w:line="218" w:lineRule="exact"/>
              <w:rPr>
                <w:sz w:val="20"/>
                <w:szCs w:val="20"/>
                <w:color w:val="auto"/>
              </w:rPr>
            </w:pPr>
            <w:r>
              <w:rPr>
                <w:rFonts w:ascii="Arial" w:cs="Arial" w:eastAsia="Arial" w:hAnsi="Arial"/>
                <w:sz w:val="17"/>
                <w:szCs w:val="17"/>
                <w:color w:val="auto"/>
              </w:rPr>
              <w:t>Store-related costs</w:t>
            </w:r>
            <w:r>
              <w:rPr>
                <w:rFonts w:ascii="Arial" w:cs="Arial" w:eastAsia="Arial" w:hAnsi="Arial"/>
                <w:sz w:val="22"/>
                <w:szCs w:val="22"/>
                <w:color w:val="auto"/>
                <w:vertAlign w:val="superscript"/>
              </w:rPr>
              <w:t>4</w:t>
            </w:r>
          </w:p>
        </w:tc>
        <w:tc>
          <w:tcPr>
            <w:tcW w:w="54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801,156</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677,414</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auto"/>
            </w:tcBorders>
            <w:shd w:val="clear" w:color="auto" w:fill="CCEEFF"/>
          </w:tcPr>
          <w:p>
            <w:pPr>
              <w:ind w:left="220"/>
              <w:spacing w:after="0" w:line="218"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2"/>
                <w:szCs w:val="22"/>
                <w:color w:val="auto"/>
                <w:vertAlign w:val="superscript"/>
              </w:rPr>
              <w:t>5</w:t>
            </w:r>
          </w:p>
        </w:tc>
        <w:tc>
          <w:tcPr>
            <w:tcW w:w="5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174,705</w:t>
            </w:r>
          </w:p>
        </w:tc>
        <w:tc>
          <w:tcPr>
            <w:tcW w:w="9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119,721</w:t>
            </w: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7"/>
                <w:szCs w:val="17"/>
                <w:color w:val="auto"/>
              </w:rPr>
              <w:t>Segment operating income</w:t>
            </w:r>
          </w:p>
        </w:tc>
        <w:tc>
          <w:tcPr>
            <w:tcW w:w="54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804,026</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606,470</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20"/>
              <w:spacing w:after="0" w:line="218" w:lineRule="exact"/>
              <w:rPr>
                <w:sz w:val="20"/>
                <w:szCs w:val="20"/>
                <w:color w:val="auto"/>
              </w:rPr>
            </w:pPr>
            <w:r>
              <w:rPr>
                <w:rFonts w:ascii="Arial" w:cs="Arial" w:eastAsia="Arial" w:hAnsi="Arial"/>
                <w:sz w:val="17"/>
                <w:szCs w:val="17"/>
                <w:color w:val="auto"/>
              </w:rPr>
              <w:t>Interest income, net</w:t>
            </w:r>
            <w:r>
              <w:rPr>
                <w:rFonts w:ascii="Arial" w:cs="Arial" w:eastAsia="Arial" w:hAnsi="Arial"/>
                <w:sz w:val="22"/>
                <w:szCs w:val="22"/>
                <w:color w:val="auto"/>
                <w:vertAlign w:val="superscript"/>
              </w:rPr>
              <w:t>6</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(33,449)</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(34,409)</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Earnings before taxes</w:t>
            </w: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837,475</w:t>
            </w:r>
          </w:p>
        </w:tc>
        <w:tc>
          <w:tcPr>
            <w:tcW w:w="92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640,879</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0" w:hanging="81"/>
        <w:spacing w:after="0"/>
        <w:tabs>
          <w:tab w:leader="none" w:pos="10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Refer to Note A: Summary of Significant Accounting Policies in the Notes to Condensed Consolidated Financial Statements for depreciation and amortization expense.</w:t>
      </w:r>
    </w:p>
    <w:p>
      <w:pPr>
        <w:spacing w:after="0" w:line="24" w:lineRule="exact"/>
        <w:rPr>
          <w:rFonts w:ascii="Arial" w:cs="Arial" w:eastAsia="Arial" w:hAnsi="Arial"/>
          <w:sz w:val="18"/>
          <w:szCs w:val="18"/>
          <w:color w:val="auto"/>
          <w:vertAlign w:val="superscript"/>
        </w:rPr>
      </w:pPr>
    </w:p>
    <w:p>
      <w:pPr>
        <w:ind w:left="2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Cost of goods sold, excluding occupancy costs primarily includes merchandise related costs, distribution costs, freight costs, and buying costs.</w:t>
      </w:r>
    </w:p>
    <w:p>
      <w:pPr>
        <w:ind w:left="2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Occupancy costs primarily includes rent, depreciation, and amortization related to the Company’s retail stores.</w:t>
      </w:r>
    </w:p>
    <w:p>
      <w:pPr>
        <w:ind w:left="2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4"/>
          <w:szCs w:val="14"/>
          <w:color w:val="auto"/>
        </w:rPr>
        <w:t xml:space="preserve"> Store-related costs primarily includes store payroll, other store operating expenses, and advertising costs.</w:t>
      </w:r>
    </w:p>
    <w:p>
      <w:pPr>
        <w:ind w:left="2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4"/>
          <w:szCs w:val="14"/>
          <w:color w:val="auto"/>
        </w:rPr>
        <w:t xml:space="preserve"> Other segment items primarily includes other general and administrative expenses.</w:t>
      </w:r>
    </w:p>
    <w:p>
      <w:pPr>
        <w:ind w:left="20"/>
        <w:spacing w:after="0"/>
        <w:rPr>
          <w:rFonts w:ascii="Arial" w:cs="Arial" w:eastAsia="Arial" w:hAnsi="Arial"/>
          <w:sz w:val="18"/>
          <w:szCs w:val="18"/>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Refer to Note A: Summary of Significant Accounting Policies in the Notes to Condensed Consolidated Financial Statements for disclosure of the components of Interest income, net.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Ross Stores,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Review of Interim Financial Information</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reviewed the accompanying condensed consolidated balance sheets of Ross Stores, Inc. and subsidiaries (the “Company”) as of May 2, 2026 and May 3, 2025, the related condensed consolidated statements of earnings, comprehensive income, stockholders’ equity, and cash flows for the three month periods ended May 2, 2026 and May 3,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balance sheet of the Company as of January 31, 2026, and the related consolidated statements of earnings, comprehensive income, stockholders’ equity, and cash flows for the year then ended (not presented herein); and in our report dated March 30, 2026, we expressed an unqualified opinion on those consolidated financial statements. In our opinion, the information set forth in the accompanying condensed consolidated balance sheet as of January 31, 2026, is fairly stated, in all material respects, in relation to the consolidated balance sheet from which it has been derived.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Review Results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June 2, 2026</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ind w:right="2840"/>
        <w:spacing w:after="0" w:line="296"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This section and other parts of this Form 10-Q contain forward-looking statements that involve risks and uncertainties. Our actual results may differ materially from the results discussed in the forward-looking statements. Factors that might cause such differences include, but are not limited to, those discussed below under the caption “Forward-Looking Statements” and also those in Part I, Item 1A. Risk Factors of our Annual Report on Form 10-K for fiscal 2025. The following discussion should be read in conjunction with the condensed consolidated financial statements and notes thereto included elsewhere in this Quarterly Report on Form 10-Q and in conjunction with the consolidated financial statements and notes thereto in our Annual Report on Form 10-K for fiscal 2025. All information is based on our fiscal calendar.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Ross Stores, Inc. operates two brands of off-price retail apparel and home fashion stores—Ross Dress for Less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(“Ross”) and dd’s DISCOUNTS</w:t>
      </w:r>
      <w:r>
        <w:rPr>
          <w:rFonts w:ascii="Arial" w:cs="Arial" w:eastAsia="Arial" w:hAnsi="Arial"/>
          <w:sz w:val="22"/>
          <w:szCs w:val="22"/>
          <w:color w:val="auto"/>
          <w:vertAlign w:val="superscript"/>
        </w:rPr>
        <w:t>®</w:t>
      </w:r>
      <w:r>
        <w:rPr>
          <w:rFonts w:ascii="Arial" w:cs="Arial" w:eastAsia="Arial" w:hAnsi="Arial"/>
          <w:sz w:val="17"/>
          <w:szCs w:val="17"/>
          <w:color w:val="auto"/>
        </w:rPr>
        <w:t>. Ross is the largest off-price apparel and home fashion chain in the United States, with 1,917 locations in 44 states, the District of Columbia, Guam, and Puerto Rico as of May 2, 2026. Ross offers first-quality, in-season, brand name and designer apparel, accessories, footwear, and home fashions for the entire family at savings of 20% to 60% off department and specialty store regular prices every day. We also operate 365 dd’s DISCOUNTS stores in 23 states as of May 2, 2026 that feature a more moderately-priced assortment of first-quality, in-season apparel, accessories, footwear, and home fashions for the entire family at savings of 20% to 70% off moderate department and discount store regular prices every day.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Highlights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Financial results for the first quarter of fiscal 2026 were as follows:</w:t>
      </w:r>
    </w:p>
    <w:p>
      <w:pPr>
        <w:spacing w:after="0" w:line="227" w:lineRule="exact"/>
        <w:rPr>
          <w:sz w:val="20"/>
          <w:szCs w:val="20"/>
          <w:color w:val="auto"/>
        </w:rPr>
      </w:pPr>
    </w:p>
    <w:p>
      <w:pPr>
        <w:ind w:left="620" w:hanging="311"/>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Sales were $6,010 million, compared to $4,985 million in the first quarter of fiscal 2025.</w:t>
      </w:r>
    </w:p>
    <w:p>
      <w:pPr>
        <w:spacing w:after="0" w:line="12" w:lineRule="exact"/>
        <w:rPr>
          <w:rFonts w:ascii="Arial" w:cs="Arial" w:eastAsia="Arial" w:hAnsi="Arial"/>
          <w:sz w:val="17"/>
          <w:szCs w:val="17"/>
          <w:color w:val="auto"/>
        </w:rPr>
      </w:pPr>
    </w:p>
    <w:p>
      <w:pPr>
        <w:ind w:left="620" w:hanging="311"/>
        <w:spacing w:after="0" w:line="23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Comparable store sales increased 17%.</w:t>
      </w:r>
    </w:p>
    <w:p>
      <w:pPr>
        <w:ind w:left="620" w:hanging="311"/>
        <w:spacing w:after="0" w:line="23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was $804 million, compared to $606 million in the first quarter of fiscal 2025.</w:t>
      </w:r>
    </w:p>
    <w:p>
      <w:pPr>
        <w:ind w:left="620" w:hanging="311"/>
        <w:spacing w:after="0" w:line="23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as a percentage of sales was 13.4%, compared to 12.2% in the first quarter of fiscal 2025.</w:t>
      </w:r>
    </w:p>
    <w:p>
      <w:pPr>
        <w:ind w:left="620" w:hanging="311"/>
        <w:spacing w:after="0" w:line="23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was $650 million, compared to $479 million in the first quarter of fiscal 2025.</w:t>
      </w:r>
    </w:p>
    <w:p>
      <w:pPr>
        <w:ind w:left="620" w:hanging="311"/>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Diluted earnings per share were $2.02, compared to $1.47 in the first quarter of fiscal 2025.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Initiatives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Our current key initiatives include the following:</w:t>
      </w:r>
    </w:p>
    <w:p>
      <w:pPr>
        <w:spacing w:after="0" w:line="202" w:lineRule="exact"/>
        <w:rPr>
          <w:sz w:val="20"/>
          <w:szCs w:val="20"/>
          <w:color w:val="auto"/>
        </w:rPr>
      </w:pPr>
    </w:p>
    <w:p>
      <w:pPr>
        <w:ind w:left="620" w:hanging="311"/>
        <w:spacing w:after="0" w:line="196" w:lineRule="exact"/>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Merchandising: </w:t>
      </w:r>
      <w:r>
        <w:rPr>
          <w:rFonts w:ascii="Arial" w:cs="Arial" w:eastAsia="Arial" w:hAnsi="Arial"/>
          <w:sz w:val="17"/>
          <w:szCs w:val="17"/>
          <w:color w:val="auto"/>
        </w:rPr>
        <w:t>Delivering broad</w:t>
      </w:r>
      <w:r>
        <w:rPr>
          <w:rFonts w:ascii="MS PGothic" w:cs="MS PGothic" w:eastAsia="MS PGothic" w:hAnsi="MS PGothic"/>
          <w:sz w:val="17"/>
          <w:szCs w:val="17"/>
          <w:color w:val="auto"/>
        </w:rPr>
        <w:t>‑</w:t>
      </w:r>
      <w:r>
        <w:rPr>
          <w:rFonts w:ascii="Arial" w:cs="Arial" w:eastAsia="Arial" w:hAnsi="Arial"/>
          <w:sz w:val="17"/>
          <w:szCs w:val="17"/>
          <w:color w:val="auto"/>
        </w:rPr>
        <w:t>based assortments timely and offering more brands at compelling values for our customers.</w:t>
      </w:r>
    </w:p>
    <w:p>
      <w:pPr>
        <w:spacing w:after="0" w:line="63" w:lineRule="exact"/>
        <w:rPr>
          <w:rFonts w:ascii="Arial" w:cs="Arial" w:eastAsia="Arial" w:hAnsi="Arial"/>
          <w:sz w:val="17"/>
          <w:szCs w:val="17"/>
          <w:color w:val="auto"/>
        </w:rPr>
      </w:pPr>
    </w:p>
    <w:p>
      <w:pPr>
        <w:ind w:left="620" w:hanging="311"/>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Marketing: </w:t>
      </w:r>
      <w:r>
        <w:rPr>
          <w:rFonts w:ascii="Arial" w:cs="Arial" w:eastAsia="Arial" w:hAnsi="Arial"/>
          <w:sz w:val="17"/>
          <w:szCs w:val="17"/>
          <w:color w:val="auto"/>
        </w:rPr>
        <w:t>Advancing our marketing initiatives to further increase customer acquisition and engagement.</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Stores: </w:t>
      </w:r>
      <w:r>
        <w:rPr>
          <w:rFonts w:ascii="Arial" w:cs="Arial" w:eastAsia="Arial" w:hAnsi="Arial"/>
          <w:sz w:val="17"/>
          <w:szCs w:val="17"/>
          <w:color w:val="auto"/>
        </w:rPr>
        <w:t>Making meaningful improvements to the in-store shopping experience for our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believe these initiatives will positively contribute to our performance and support our growth plans.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color w:val="auto"/>
        </w:rPr>
        <w:t>Store Openings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stores opened and closed during the three month periods ended May 2, 2026 and May 3,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Store Count</w:t>
            </w:r>
          </w:p>
        </w:tc>
        <w:tc>
          <w:tcPr>
            <w:tcW w:w="2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00" w:type="dxa"/>
            <w:vAlign w:val="bottom"/>
            <w:tcBorders>
              <w:bottom w:val="single" w:sz="8" w:color="auto"/>
            </w:tcBorders>
            <w:vMerge w:val="continue"/>
          </w:tcPr>
          <w:p>
            <w:pPr>
              <w:spacing w:after="0"/>
              <w:rPr>
                <w:sz w:val="18"/>
                <w:szCs w:val="18"/>
                <w:color w:val="auto"/>
              </w:rPr>
            </w:pPr>
          </w:p>
        </w:tc>
        <w:tc>
          <w:tcPr>
            <w:tcW w:w="290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b w:val="1"/>
                <w:bCs w:val="1"/>
                <w:color w:val="auto"/>
              </w:rPr>
              <w:t>May 2, 2026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Ross Dress for Less</w:t>
            </w:r>
          </w:p>
        </w:tc>
        <w:tc>
          <w:tcPr>
            <w:tcW w:w="2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tcPr>
          <w:p>
            <w:pPr>
              <w:ind w:left="20"/>
              <w:spacing w:after="0"/>
              <w:rPr>
                <w:sz w:val="20"/>
                <w:szCs w:val="20"/>
                <w:color w:val="auto"/>
              </w:rPr>
            </w:pPr>
            <w:r>
              <w:rPr>
                <w:rFonts w:ascii="Arial" w:cs="Arial" w:eastAsia="Arial" w:hAnsi="Arial"/>
                <w:sz w:val="17"/>
                <w:szCs w:val="17"/>
                <w:color w:val="auto"/>
              </w:rPr>
              <w:t>Beginning of the period</w:t>
            </w:r>
          </w:p>
        </w:tc>
        <w:tc>
          <w:tcPr>
            <w:tcW w:w="2900" w:type="dxa"/>
            <w:vAlign w:val="bottom"/>
          </w:tcPr>
          <w:p>
            <w:pPr>
              <w:jc w:val="right"/>
              <w:ind w:right="995"/>
              <w:spacing w:after="0"/>
              <w:rPr>
                <w:sz w:val="20"/>
                <w:szCs w:val="20"/>
                <w:color w:val="auto"/>
              </w:rPr>
            </w:pPr>
            <w:r>
              <w:rPr>
                <w:rFonts w:ascii="Arial" w:cs="Arial" w:eastAsia="Arial" w:hAnsi="Arial"/>
                <w:sz w:val="17"/>
                <w:szCs w:val="17"/>
                <w:b w:val="1"/>
                <w:bCs w:val="1"/>
                <w:color w:val="auto"/>
              </w:rPr>
              <w:t>1,904</w:t>
            </w:r>
          </w:p>
        </w:tc>
        <w:tc>
          <w:tcPr>
            <w:tcW w:w="1040" w:type="dxa"/>
            <w:vAlign w:val="bottom"/>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Opened in the period</w:t>
            </w:r>
          </w:p>
        </w:tc>
        <w:tc>
          <w:tcPr>
            <w:tcW w:w="2900" w:type="dxa"/>
            <w:vAlign w:val="bottom"/>
            <w:shd w:val="clear" w:color="auto" w:fill="CCEEFF"/>
          </w:tcPr>
          <w:p>
            <w:pPr>
              <w:jc w:val="right"/>
              <w:ind w:right="995"/>
              <w:spacing w:after="0"/>
              <w:rPr>
                <w:sz w:val="20"/>
                <w:szCs w:val="20"/>
                <w:color w:val="auto"/>
              </w:rPr>
            </w:pPr>
            <w:r>
              <w:rPr>
                <w:rFonts w:ascii="Arial" w:cs="Arial" w:eastAsia="Arial" w:hAnsi="Arial"/>
                <w:sz w:val="17"/>
                <w:szCs w:val="17"/>
                <w:b w:val="1"/>
                <w:bCs w:val="1"/>
                <w:color w:val="auto"/>
              </w:rPr>
              <w:t>13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7"/>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Closed in the period</w:t>
            </w:r>
          </w:p>
        </w:tc>
        <w:tc>
          <w:tcPr>
            <w:tcW w:w="2900" w:type="dxa"/>
            <w:vAlign w:val="bottom"/>
            <w:tcBorders>
              <w:bottom w:val="single" w:sz="8" w:color="auto"/>
            </w:tcBorders>
          </w:tcPr>
          <w:p>
            <w:pPr>
              <w:jc w:val="right"/>
              <w:ind w:right="99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Ross Dress for Less stores end of period</w:t>
            </w:r>
          </w:p>
        </w:tc>
        <w:tc>
          <w:tcPr>
            <w:tcW w:w="29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7"/>
                <w:szCs w:val="17"/>
                <w:b w:val="1"/>
                <w:bCs w:val="1"/>
                <w:color w:val="auto"/>
              </w:rPr>
              <w:t>1,917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7"/>
                <w:szCs w:val="17"/>
                <w:b w:val="1"/>
                <w:bCs w:val="1"/>
                <w:color w:val="auto"/>
              </w:rPr>
              <w:t>dd’s DISCOUNTS</w:t>
            </w:r>
          </w:p>
        </w:tc>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the period</w:t>
            </w:r>
          </w:p>
        </w:tc>
        <w:tc>
          <w:tcPr>
            <w:tcW w:w="2900" w:type="dxa"/>
            <w:vAlign w:val="bottom"/>
            <w:shd w:val="clear" w:color="auto" w:fill="CCEEFF"/>
          </w:tcPr>
          <w:p>
            <w:pPr>
              <w:jc w:val="right"/>
              <w:ind w:right="995"/>
              <w:spacing w:after="0"/>
              <w:rPr>
                <w:sz w:val="20"/>
                <w:szCs w:val="20"/>
                <w:color w:val="auto"/>
              </w:rPr>
            </w:pPr>
            <w:r>
              <w:rPr>
                <w:rFonts w:ascii="Arial" w:cs="Arial" w:eastAsia="Arial" w:hAnsi="Arial"/>
                <w:sz w:val="17"/>
                <w:szCs w:val="17"/>
                <w:b w:val="1"/>
                <w:bCs w:val="1"/>
                <w:color w:val="auto"/>
              </w:rPr>
              <w:t>363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17"/>
        </w:trPr>
        <w:tc>
          <w:tcPr>
            <w:tcW w:w="7300" w:type="dxa"/>
            <w:vAlign w:val="bottom"/>
          </w:tcPr>
          <w:p>
            <w:pPr>
              <w:ind w:left="20"/>
              <w:spacing w:after="0"/>
              <w:rPr>
                <w:sz w:val="20"/>
                <w:szCs w:val="20"/>
                <w:color w:val="auto"/>
              </w:rPr>
            </w:pPr>
            <w:r>
              <w:rPr>
                <w:rFonts w:ascii="Arial" w:cs="Arial" w:eastAsia="Arial" w:hAnsi="Arial"/>
                <w:sz w:val="17"/>
                <w:szCs w:val="17"/>
                <w:color w:val="auto"/>
              </w:rPr>
              <w:t>Opened in the period</w:t>
            </w:r>
          </w:p>
        </w:tc>
        <w:tc>
          <w:tcPr>
            <w:tcW w:w="2900" w:type="dxa"/>
            <w:vAlign w:val="bottom"/>
          </w:tcPr>
          <w:p>
            <w:pPr>
              <w:jc w:val="right"/>
              <w:ind w:right="995"/>
              <w:spacing w:after="0"/>
              <w:rPr>
                <w:sz w:val="20"/>
                <w:szCs w:val="20"/>
                <w:color w:val="auto"/>
              </w:rPr>
            </w:pPr>
            <w:r>
              <w:rPr>
                <w:rFonts w:ascii="Arial" w:cs="Arial" w:eastAsia="Arial" w:hAnsi="Arial"/>
                <w:sz w:val="17"/>
                <w:szCs w:val="17"/>
                <w:b w:val="1"/>
                <w:bCs w:val="1"/>
                <w:color w:val="auto"/>
              </w:rPr>
              <w:t>4</w:t>
            </w: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7"/>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Closed in the period</w:t>
            </w:r>
          </w:p>
        </w:tc>
        <w:tc>
          <w:tcPr>
            <w:tcW w:w="290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b w:val="1"/>
                <w:bCs w:val="1"/>
                <w:color w:val="auto"/>
              </w:rPr>
              <w:t>(2)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dd’s DISCOUNTS stores end of period</w:t>
            </w:r>
          </w:p>
        </w:tc>
        <w:tc>
          <w:tcPr>
            <w:tcW w:w="2900" w:type="dxa"/>
            <w:vAlign w:val="bottom"/>
            <w:tcBorders>
              <w:bottom w:val="single" w:sz="8" w:color="auto"/>
            </w:tcBorders>
          </w:tcPr>
          <w:p>
            <w:pPr>
              <w:jc w:val="right"/>
              <w:ind w:right="995"/>
              <w:spacing w:after="0"/>
              <w:rPr>
                <w:sz w:val="20"/>
                <w:szCs w:val="20"/>
                <w:color w:val="auto"/>
              </w:rPr>
            </w:pPr>
            <w:r>
              <w:rPr>
                <w:rFonts w:ascii="Arial" w:cs="Arial" w:eastAsia="Arial" w:hAnsi="Arial"/>
                <w:sz w:val="17"/>
                <w:szCs w:val="17"/>
                <w:b w:val="1"/>
                <w:bCs w:val="1"/>
                <w:color w:val="auto"/>
              </w:rPr>
              <w:t>365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stores end of period</w:t>
            </w:r>
          </w:p>
        </w:tc>
        <w:tc>
          <w:tcPr>
            <w:tcW w:w="29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7"/>
                <w:szCs w:val="17"/>
                <w:b w:val="1"/>
                <w:bCs w:val="1"/>
                <w:color w:val="auto"/>
              </w:rPr>
              <w:t>2,282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2,205</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opened 17 new stores in the first quarter of fiscal 2026 and remain on track to open a total of approximately 110 new stores this year, comprised of about 85 Ross stores and 25 dd’s DISCOUNTS stores. We expect to open 47 stores in the three month period ending August 1, 2026, including 35 Ross and 12 dd’s DISCOUNTS locations.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long-term strategy is to open additional stores based on market penetration, local demographic characteristics, competition, expected store profitability, and the ability to leverage overhead expenses. We continually evaluate opportunistic real estate acquisitions and opportunities for potential new store locations. We also evaluate our current store locations and determine store closures based on similar criteria. We continue to believe that customers’ focus on value and convenience supports opportunities to expand our reach and serve more customers over time.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Metrics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Comparable store sales (“comp store sales”) is a metric used by management and across the retail industry to evaluate the performance of existing stores by measuring the change in net sales for a particular period over the comparable prior period of equivalent length. We define comp store sales to be sales from stores that have been open for 14 complete months.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Sales excluded from comp store sales (“non-comp store sales”) consist primarily of sales from new stores that have been open for less than 14</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complete months. Non-comp store sales also include sales from stores that are permanently closed (beginning in the month prior to closure) and temporarily closed (i.e., stores that do not have sales for at least two weeks within a fiscal month).</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calculation of comp store sales varies across the retail industry; therefore, our measure of comp store sales may differ from other retailers.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Metrics relating to customer purchasing behavior, such as “traffic” (defined as the number of transactions) and “basket” (defined as average transaction value), may provide additional insight into our comp store sales results (see Sales discussion below).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financial results for the three month periods ended May 2, 2026 and May 3,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Borders>
              <w:top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Three Months Ended</w:t>
            </w:r>
          </w:p>
        </w:tc>
        <w:tc>
          <w:tcPr>
            <w:tcW w:w="1100" w:type="dxa"/>
            <w:vAlign w:val="bottom"/>
            <w:tcBorders>
              <w:top w:val="single" w:sz="8" w:color="auto"/>
              <w:bottom w:val="single" w:sz="8" w:color="auto"/>
            </w:tcBorders>
          </w:tcPr>
          <w:p>
            <w:pPr>
              <w:spacing w:after="0"/>
              <w:rPr>
                <w:sz w:val="20"/>
                <w:szCs w:val="20"/>
                <w:color w:val="auto"/>
              </w:rPr>
            </w:pPr>
          </w:p>
        </w:tc>
      </w:tr>
      <w:tr>
        <w:trPr>
          <w:trHeight w:val="210"/>
        </w:trPr>
        <w:tc>
          <w:tcPr>
            <w:tcW w:w="7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7"/>
        </w:trPr>
        <w:tc>
          <w:tcPr>
            <w:tcW w:w="7060" w:type="dxa"/>
            <w:vAlign w:val="bottom"/>
          </w:tcPr>
          <w:p>
            <w:pPr>
              <w:ind w:left="220"/>
              <w:spacing w:after="0"/>
              <w:rPr>
                <w:sz w:val="20"/>
                <w:szCs w:val="20"/>
                <w:color w:val="auto"/>
              </w:rPr>
            </w:pPr>
            <w:r>
              <w:rPr>
                <w:rFonts w:ascii="Arial" w:cs="Arial" w:eastAsia="Arial" w:hAnsi="Arial"/>
                <w:sz w:val="17"/>
                <w:szCs w:val="17"/>
                <w:color w:val="auto"/>
              </w:rPr>
              <w:t>Sales (millions)</w:t>
            </w:r>
          </w:p>
        </w:tc>
        <w:tc>
          <w:tcPr>
            <w:tcW w:w="600" w:type="dxa"/>
            <w:vAlign w:val="bottom"/>
          </w:tcPr>
          <w:p>
            <w:pPr>
              <w:jc w:val="right"/>
              <w:ind w:right="395"/>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75"/>
              <w:spacing w:after="0"/>
              <w:rPr>
                <w:sz w:val="20"/>
                <w:szCs w:val="20"/>
                <w:color w:val="auto"/>
              </w:rPr>
            </w:pPr>
            <w:r>
              <w:rPr>
                <w:rFonts w:ascii="Arial" w:cs="Arial" w:eastAsia="Arial" w:hAnsi="Arial"/>
                <w:sz w:val="17"/>
                <w:szCs w:val="17"/>
                <w:b w:val="1"/>
                <w:bCs w:val="1"/>
                <w:color w:val="auto"/>
              </w:rPr>
              <w:t>6,010</w:t>
            </w:r>
          </w:p>
        </w:tc>
        <w:tc>
          <w:tcPr>
            <w:tcW w:w="98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4,985</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growth</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7060" w:type="dxa"/>
            <w:vAlign w:val="bottom"/>
          </w:tcPr>
          <w:p>
            <w:pPr>
              <w:ind w:left="220"/>
              <w:spacing w:after="0"/>
              <w:rPr>
                <w:sz w:val="20"/>
                <w:szCs w:val="20"/>
                <w:color w:val="auto"/>
              </w:rPr>
            </w:pPr>
            <w:r>
              <w:rPr>
                <w:rFonts w:ascii="Arial" w:cs="Arial" w:eastAsia="Arial" w:hAnsi="Arial"/>
                <w:sz w:val="17"/>
                <w:szCs w:val="17"/>
                <w:color w:val="auto"/>
              </w:rPr>
              <w:t>Comparable store sales growth</w:t>
            </w:r>
          </w:p>
        </w:tc>
        <w:tc>
          <w:tcPr>
            <w:tcW w:w="6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17%</w:t>
            </w:r>
          </w:p>
        </w:tc>
        <w:tc>
          <w:tcPr>
            <w:tcW w:w="9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70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Costs and expenses (as a percent of sales)</w:t>
            </w: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goods sold</w:t>
            </w: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70.4%</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r>
      <w:tr>
        <w:trPr>
          <w:trHeight w:val="217"/>
        </w:trPr>
        <w:tc>
          <w:tcPr>
            <w:tcW w:w="7060" w:type="dxa"/>
            <w:vAlign w:val="bottom"/>
          </w:tcPr>
          <w:p>
            <w:pPr>
              <w:ind w:left="220"/>
              <w:spacing w:after="0"/>
              <w:rPr>
                <w:sz w:val="20"/>
                <w:szCs w:val="20"/>
                <w:color w:val="auto"/>
              </w:rPr>
            </w:pPr>
            <w:r>
              <w:rPr>
                <w:rFonts w:ascii="Arial" w:cs="Arial" w:eastAsia="Arial" w:hAnsi="Arial"/>
                <w:sz w:val="17"/>
                <w:szCs w:val="17"/>
                <w:color w:val="auto"/>
              </w:rPr>
              <w:t>Selling, general and administrative</w:t>
            </w:r>
          </w:p>
        </w:tc>
        <w:tc>
          <w:tcPr>
            <w:tcW w:w="6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16.2%</w:t>
            </w:r>
          </w:p>
        </w:tc>
        <w:tc>
          <w:tcPr>
            <w:tcW w:w="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56"/>
        </w:trPr>
        <w:tc>
          <w:tcPr>
            <w:tcW w:w="70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Operating income (as a percent of sales)</w:t>
            </w:r>
          </w:p>
        </w:tc>
        <w:tc>
          <w:tcPr>
            <w:tcW w:w="60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13.4%</w:t>
            </w:r>
          </w:p>
        </w:tc>
        <w:tc>
          <w:tcPr>
            <w:tcW w:w="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56"/>
        </w:trPr>
        <w:tc>
          <w:tcPr>
            <w:tcW w:w="70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Interest income, net (as a percent of sales)</w:t>
            </w:r>
          </w:p>
        </w:tc>
        <w:tc>
          <w:tcPr>
            <w:tcW w:w="6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56"/>
        </w:trPr>
        <w:tc>
          <w:tcPr>
            <w:tcW w:w="70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earnings (as a percent of sales)</w:t>
            </w: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10.8%</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r>
    </w:tbl>
    <w:p>
      <w:pPr>
        <w:spacing w:after="0" w:line="3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Sales for the three month period ended May 2, 2026 increased by approximately $1,026 million, or 21%, compared to the three 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May 3, 2025. This was primarily due to the 17% increase in comp store sales of $841 million and an increase in non-comp store sales of $185 million. The 17% increase in comp store sales was primarily driven by an approximately 11% increase in traffic and 6% increase in basket.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sales mix for the three month periods ended May 2, 2026 and May 3, 2025 is shown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Borders>
              <w:top w:val="single" w:sz="8" w:color="auto"/>
            </w:tcBorders>
          </w:tcPr>
          <w:p>
            <w:pPr>
              <w:spacing w:after="0"/>
              <w:rPr>
                <w:sz w:val="20"/>
                <w:szCs w:val="20"/>
                <w:color w:val="auto"/>
              </w:rPr>
            </w:pPr>
          </w:p>
        </w:tc>
        <w:tc>
          <w:tcPr>
            <w:tcW w:w="3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Borders>
              <w:top w:val="single" w:sz="8" w:color="auto"/>
              <w:bottom w:val="single" w:sz="8" w:color="auto"/>
            </w:tcBorders>
          </w:tcPr>
          <w:p>
            <w:pPr>
              <w:spacing w:after="0"/>
              <w:rPr>
                <w:sz w:val="20"/>
                <w:szCs w:val="20"/>
                <w:color w:val="auto"/>
              </w:rPr>
            </w:pPr>
          </w:p>
        </w:tc>
      </w:tr>
      <w:tr>
        <w:trPr>
          <w:trHeight w:val="261"/>
        </w:trPr>
        <w:tc>
          <w:tcPr>
            <w:tcW w:w="716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b w:val="1"/>
                <w:bCs w:val="1"/>
                <w:color w:val="auto"/>
              </w:rPr>
              <w:t>May 2, 2026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Accents and Bed and Bath</w:t>
            </w:r>
          </w:p>
        </w:tc>
        <w:tc>
          <w:tcPr>
            <w:tcW w:w="3000" w:type="dxa"/>
            <w:vAlign w:val="bottom"/>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25%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7"/>
        </w:trPr>
        <w:tc>
          <w:tcPr>
            <w:tcW w:w="7160" w:type="dxa"/>
            <w:vAlign w:val="bottom"/>
          </w:tcPr>
          <w:p>
            <w:pPr>
              <w:ind w:left="20"/>
              <w:spacing w:after="0"/>
              <w:rPr>
                <w:sz w:val="20"/>
                <w:szCs w:val="20"/>
                <w:color w:val="auto"/>
              </w:rPr>
            </w:pPr>
            <w:r>
              <w:rPr>
                <w:rFonts w:ascii="Arial" w:cs="Arial" w:eastAsia="Arial" w:hAnsi="Arial"/>
                <w:sz w:val="17"/>
                <w:szCs w:val="17"/>
                <w:color w:val="auto"/>
              </w:rPr>
              <w:t>Ladies</w:t>
            </w:r>
          </w:p>
        </w:tc>
        <w:tc>
          <w:tcPr>
            <w:tcW w:w="3000" w:type="dxa"/>
            <w:vAlign w:val="bottom"/>
          </w:tcPr>
          <w:p>
            <w:pPr>
              <w:jc w:val="right"/>
              <w:ind w:right="935"/>
              <w:spacing w:after="0"/>
              <w:rPr>
                <w:sz w:val="20"/>
                <w:szCs w:val="20"/>
                <w:color w:val="auto"/>
              </w:rPr>
            </w:pPr>
            <w:r>
              <w:rPr>
                <w:rFonts w:ascii="Arial" w:cs="Arial" w:eastAsia="Arial" w:hAnsi="Arial"/>
                <w:sz w:val="17"/>
                <w:szCs w:val="17"/>
                <w:b w:val="1"/>
                <w:bCs w:val="1"/>
                <w:color w:val="auto"/>
              </w:rPr>
              <w:t>23%</w:t>
            </w: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Accessories, Lingerie, Fine Jewelry, and Cosmetics</w:t>
            </w:r>
          </w:p>
        </w:tc>
        <w:tc>
          <w:tcPr>
            <w:tcW w:w="3000" w:type="dxa"/>
            <w:vAlign w:val="bottom"/>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7160" w:type="dxa"/>
            <w:vAlign w:val="bottom"/>
          </w:tcPr>
          <w:p>
            <w:pPr>
              <w:ind w:left="20"/>
              <w:spacing w:after="0"/>
              <w:rPr>
                <w:sz w:val="20"/>
                <w:szCs w:val="20"/>
                <w:color w:val="auto"/>
              </w:rPr>
            </w:pPr>
            <w:r>
              <w:rPr>
                <w:rFonts w:ascii="Arial" w:cs="Arial" w:eastAsia="Arial" w:hAnsi="Arial"/>
                <w:sz w:val="17"/>
                <w:szCs w:val="17"/>
                <w:color w:val="auto"/>
              </w:rPr>
              <w:t>Men’s</w:t>
            </w:r>
          </w:p>
        </w:tc>
        <w:tc>
          <w:tcPr>
            <w:tcW w:w="3000" w:type="dxa"/>
            <w:vAlign w:val="bottom"/>
          </w:tcPr>
          <w:p>
            <w:pPr>
              <w:jc w:val="right"/>
              <w:ind w:right="935"/>
              <w:spacing w:after="0"/>
              <w:rPr>
                <w:sz w:val="20"/>
                <w:szCs w:val="20"/>
                <w:color w:val="auto"/>
              </w:rPr>
            </w:pPr>
            <w:r>
              <w:rPr>
                <w:rFonts w:ascii="Arial" w:cs="Arial" w:eastAsia="Arial" w:hAnsi="Arial"/>
                <w:sz w:val="17"/>
                <w:szCs w:val="17"/>
                <w:b w:val="1"/>
                <w:bCs w:val="1"/>
                <w:color w:val="auto"/>
              </w:rPr>
              <w:t>14%</w:t>
            </w: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Shoes</w:t>
            </w:r>
          </w:p>
        </w:tc>
        <w:tc>
          <w:tcPr>
            <w:tcW w:w="3000" w:type="dxa"/>
            <w:vAlign w:val="bottom"/>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Children’s</w:t>
            </w:r>
          </w:p>
        </w:tc>
        <w:tc>
          <w:tcPr>
            <w:tcW w:w="300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b w:val="1"/>
                <w:bCs w:val="1"/>
                <w:color w:val="auto"/>
              </w:rPr>
              <w:t>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b w:val="1"/>
                <w:bCs w:val="1"/>
                <w:color w:val="auto"/>
              </w:rPr>
              <w:t>100%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Cost of goods sold. </w:t>
      </w:r>
      <w:r>
        <w:rPr>
          <w:rFonts w:ascii="Arial" w:cs="Arial" w:eastAsia="Arial" w:hAnsi="Arial"/>
          <w:sz w:val="17"/>
          <w:szCs w:val="17"/>
          <w:color w:val="auto"/>
        </w:rPr>
        <w:t>Cost of goods sold for the three month period ended May 2, 2026 increased by approximately $649 million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 month period ended May 3, 2025, primarily due to the increase in sales.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Cost of goods sold as a percentage of sales for the three month period ended May 2, 2026 decreased by approximately 145 basis points compared to the three month period ended May 3, 2025, primarily due to an 85 basis point increase in merchandise margin. Occupancy costs levered by 60 basis points. Distribution and domestic freight costs declined by 15 and 10 basis points, respectively. Partially offsetting these lower costs were higher buying costs of 25 basis points from higher incentive compensation expense.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For the three month period ended May 2, 2026, selling, general and administrative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(“SG&amp;A”) increased by approximately $179 million, compared to the three month period ended May 3, 2025, primarily due to higher store-related costs.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SG&amp;A as a percentage of sales for the three month period ended May 2, 2026 increased by approximately 25 basis points compared to the three month period ended May 3, 2025, primarily due to higher incentive compensation expense.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Operating income as a percentage of sales for the three month period ended May 2, 2026 increased by approximately 120 basis</w:t>
      </w:r>
      <w:r>
        <w:rPr>
          <w:rFonts w:ascii="Arial" w:cs="Arial" w:eastAsia="Arial" w:hAnsi="Arial"/>
          <w:sz w:val="17"/>
          <w:szCs w:val="17"/>
          <w:b w:val="1"/>
          <w:bCs w:val="1"/>
          <w:color w:val="auto"/>
        </w:rPr>
        <w:t xml:space="preserve"> </w:t>
      </w:r>
      <w:r>
        <w:rPr>
          <w:rFonts w:ascii="Arial" w:cs="Arial" w:eastAsia="Arial" w:hAnsi="Arial"/>
          <w:sz w:val="17"/>
          <w:szCs w:val="17"/>
          <w:color w:val="auto"/>
        </w:rPr>
        <w:t>points compared to the three month period ended May 3, 2025, primarily driven by the decrease in cost of goods sold as a percentage of sales period-over-period, partially offset by the increase in SG&amp;A as a percentage of sales period-over-period.</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Interest income, net. </w:t>
      </w:r>
      <w:r>
        <w:rPr>
          <w:rFonts w:ascii="Arial" w:cs="Arial" w:eastAsia="Arial" w:hAnsi="Arial"/>
          <w:sz w:val="17"/>
          <w:szCs w:val="17"/>
          <w:color w:val="auto"/>
        </w:rPr>
        <w:t>For the three month period ended May 2, 2026, interest income, net was relatively flat compared to the three 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May 3, 2025, as shown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520" w:type="dxa"/>
            <w:vAlign w:val="bottom"/>
            <w:tcBorders>
              <w:top w:val="single" w:sz="8" w:color="auto"/>
              <w:bottom w:val="single" w:sz="8" w:color="auto"/>
            </w:tcBorders>
          </w:tcPr>
          <w:p>
            <w:pPr>
              <w:spacing w:after="0"/>
              <w:rPr>
                <w:sz w:val="20"/>
                <w:szCs w:val="20"/>
                <w:color w:val="auto"/>
              </w:rPr>
            </w:pPr>
          </w:p>
        </w:tc>
        <w:tc>
          <w:tcPr>
            <w:tcW w:w="2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(41,051)</w:t>
            </w:r>
          </w:p>
        </w:tc>
        <w:tc>
          <w:tcPr>
            <w:tcW w:w="90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(46,868)</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Capitalized interest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(3,077)</w:t>
            </w:r>
          </w:p>
        </w:tc>
        <w:tc>
          <w:tcPr>
            <w:tcW w:w="9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(5,404)</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on long-term debt</w:t>
            </w: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10,333</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17,463</w:t>
            </w:r>
          </w:p>
        </w:tc>
        <w:tc>
          <w:tcPr>
            <w:tcW w:w="0" w:type="dxa"/>
            <w:vAlign w:val="bottom"/>
          </w:tcPr>
          <w:p>
            <w:pPr>
              <w:spacing w:after="0"/>
              <w:rPr>
                <w:sz w:val="1"/>
                <w:szCs w:val="1"/>
                <w:color w:val="auto"/>
              </w:rPr>
            </w:pPr>
          </w:p>
        </w:tc>
      </w:tr>
      <w:tr>
        <w:trPr>
          <w:trHeight w:val="21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interest expense</w:t>
            </w: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346</w:t>
            </w: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(33,449)</w:t>
            </w:r>
          </w:p>
        </w:tc>
        <w:tc>
          <w:tcPr>
            <w:tcW w:w="9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(34,409)</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Taxes on earnings. </w:t>
      </w:r>
      <w:r>
        <w:rPr>
          <w:rFonts w:ascii="Arial" w:cs="Arial" w:eastAsia="Arial" w:hAnsi="Arial"/>
          <w:sz w:val="17"/>
          <w:szCs w:val="17"/>
          <w:color w:val="auto"/>
        </w:rPr>
        <w:t>Our effective tax rates for the three month periods ended May 2, 2026 and May 3, 2025 were approximately 22.4% and 25.2%,</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The decrease of 2.8% in the effective tax rate for the first quarter of fiscal 2026 compared to the first quarter of fiscal 2025 was primarily due to the tax effects associated with stock-based compensation. Our effective tax rate represents the applicable combined federal and state statutory rates reduced by the federal benefit of state taxes deductible on federal returns. Our effective tax rate is impacted by changes in tax laws and accounting guidance, location of new stores, level of earnings, tax effects associated with stock-based compensation, and the resolution of tax positions with various tax authorities.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Diluted earnings per share for the three month period ended May 2, 2026 was $2.02 compared to $1.47 for the three month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ended May 3, 2025. The $0.55, or 37%, increase in diluted earnings per share for the three month period ended May 2, 2026 was primarily attributable to an approximately 36% increase in net earnings and 1% reduction in weighted-average diluted shares outstanding, largely due to stock repurchases under our stock repurchase program.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primary sources of funds for our business activities are cash flows from operations and short-term trade credit. Our primary ongoing cash requirements are for merchandise inventory purchases, payroll, operating and variable lease costs, taxes, capital expenditures related to our new and existing stores, and investments in distribution centers, information systems, and buying and corporate offices. We also use cash to repurchase stock under active stock repurchase programs, repay debt as it becomes due, and pay dividends. In April 2026, we repaid at maturity $500 million of Senior Notes, and in April 2025, we repaid at maturity $700 million of Senior Notes. As of May 2, 2026, we had $242 million principal amount of Senior Notes that will reach maturity in 2027.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Our cash flows for the three month periods ended May 2, 2026 and May 3, 2025, are summarized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 millions)</w:t>
            </w:r>
          </w:p>
        </w:tc>
        <w:tc>
          <w:tcPr>
            <w:tcW w:w="52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May 2, 2026</w:t>
            </w:r>
          </w:p>
        </w:tc>
        <w:tc>
          <w:tcPr>
            <w:tcW w:w="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3, 2025</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836</w:t>
            </w:r>
          </w:p>
        </w:tc>
        <w:tc>
          <w:tcPr>
            <w:tcW w:w="840" w:type="dxa"/>
            <w:vAlign w:val="bottom"/>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17"/>
        </w:trPr>
        <w:tc>
          <w:tcPr>
            <w:tcW w:w="748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5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(209)</w:t>
            </w:r>
          </w:p>
        </w:tc>
        <w:tc>
          <w:tcPr>
            <w:tcW w:w="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17"/>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used in financing activities</w:t>
            </w:r>
          </w:p>
        </w:tc>
        <w:tc>
          <w:tcPr>
            <w:tcW w:w="5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(1,090)</w:t>
            </w:r>
          </w:p>
        </w:tc>
        <w:tc>
          <w:tcPr>
            <w:tcW w:w="8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decrease in cash, cash equivalents, and restricted cash and cash equivalents</w:t>
            </w: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w:t>
            </w:r>
          </w:p>
        </w:tc>
        <w:tc>
          <w:tcPr>
            <w:tcW w:w="84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Net cash provided by operating activities for the three month period ended May 2, 2026 increased by approximately $426 million compared to the three month period ended May 3, 2025, primarily due to higher net earnings, higher accounts payable leverage (defined as Accounts payable divided by Merchandise inventory), and higher current year incentive compensation accruals. Accounts payable leverage was 89% and 81% as of May 2, 2026 and May 3, 2025, respectively. The increase in accounts payable leverage was primarily due to the timing of inventory receipts and related payments versus last year.</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Packaway merchandise is purchased with the intent that it will be stored in our warehouses until a later date. As a regular part of our business, packaway inventory levels will vary over time based on availability of compelling merchandise purchase opportunities in the marketplace and our decisions on the timing for release of that inventory to our stores.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for less than six months. We expect to continue to take advantage of packaway inventory opportunities to maximize our ability to deliver bargains to our customers.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packaway inventory levels affect our operating cash flow. As of May 2, 2026, January 31, 2026, and May 3, 2025 packaway inventory was 36%, 37%, and 41% of total inventory,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for the three month period ended May 2, 2026 was relatively flat compared to the three month period ended May 3, 2025.</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Capital expenditures for fiscal 2026 are projected to be approximately $1.1 billion. Our planned capital expenditures for fiscal 2026 include costs to open new stores and improve existing stores, investments in our supply chain to support long-term growth, including construction of our next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distribution centers, investments in our information technology systems, and for various other expenditures related to our stores, distribution centers, and buying and corporate offices. We expect to fund capital expenditures with available cash.</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cash used in financing activities for the three month period ended May 2, 2026 decreased by approximately $60 million compared to the three month period ended May 3, 2025, primarily due to lower Senior Notes repayments, partially offset by higher stock purchased for tax withholding, and higher stock repurchases under our stock repurchase program.</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Revolving credit facility. </w:t>
      </w:r>
      <w:r>
        <w:rPr>
          <w:rFonts w:ascii="Arial" w:cs="Arial" w:eastAsia="Arial" w:hAnsi="Arial"/>
          <w:sz w:val="17"/>
          <w:szCs w:val="17"/>
          <w:color w:val="auto"/>
        </w:rPr>
        <w:t>As of May 2, 2026, we had no borrowings or standby letters of credit outstanding under the Credit Facility, and we were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the financial covenant. Refer to Note E: Debt in the Notes to Condensed Consolidated Financial Statements for additional information.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Senior notes. </w:t>
      </w:r>
      <w:r>
        <w:rPr>
          <w:rFonts w:ascii="Arial" w:cs="Arial" w:eastAsia="Arial" w:hAnsi="Arial"/>
          <w:sz w:val="17"/>
          <w:szCs w:val="17"/>
          <w:color w:val="auto"/>
        </w:rPr>
        <w:t>As of May 2, 2026, we had approximately $1.0 billion of outstanding Senior Notes, of which $241 million was classified in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on our Condensed Consolidated Balance Sheet for the period ended May 2, 2026. Refer to Note E: Debt in the Notes to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7"/>
          <w:szCs w:val="17"/>
          <w:b w:val="1"/>
          <w:bCs w:val="1"/>
          <w:color w:val="auto"/>
        </w:rPr>
        <w:t xml:space="preserve">Stock Repurchases. </w:t>
      </w:r>
      <w:r>
        <w:rPr>
          <w:rFonts w:ascii="Arial" w:cs="Arial" w:eastAsia="Arial" w:hAnsi="Arial"/>
          <w:sz w:val="17"/>
          <w:szCs w:val="17"/>
          <w:color w:val="auto"/>
        </w:rPr>
        <w:t>In March 2026, our Board of Directors approved a new, two-year program to repurchase up to $2.55 billion of our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through January 29, 2028. During the three month period ended May 2, 2026, we repurchased 1.5 million shares of common stock for $318.7 million (excluding excise tax) under this program. Refer to Note A: Summary of Significant Accounting Policies in the Notes to the Condensed Consolidated Financial Statements for additional information relating to our stock repurchase program.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On May 20, 2026, our Board of Directors declared a quarterly cash dividend of $0.4450 per common share, payable on June 30, 2026.</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declared a quarterly cash dividend of $0.4450 per common share in March 2026. Our Board of Directors declared a quarterly cash dividend of $0.4050 per common share in March, May, August, and November 2025.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 periods ended May 2, 2026 and May 3, 2025, we paid cash dividends of $143.6 million and $133.3 million, respectively.</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Other financing activities. </w:t>
      </w:r>
      <w:r>
        <w:rPr>
          <w:rFonts w:ascii="Arial" w:cs="Arial" w:eastAsia="Arial" w:hAnsi="Arial"/>
          <w:sz w:val="17"/>
          <w:szCs w:val="17"/>
          <w:color w:val="auto"/>
        </w:rPr>
        <w:t>Short-term trade credit represents a significant source of financing for merchandise inventory. Trade credit arises from</w:t>
      </w:r>
      <w:r>
        <w:rPr>
          <w:rFonts w:ascii="Arial" w:cs="Arial" w:eastAsia="Arial" w:hAnsi="Arial"/>
          <w:sz w:val="17"/>
          <w:szCs w:val="17"/>
          <w:b w:val="1"/>
          <w:bCs w:val="1"/>
          <w:color w:val="auto"/>
        </w:rPr>
        <w:t xml:space="preserve"> </w:t>
      </w:r>
      <w:r>
        <w:rPr>
          <w:rFonts w:ascii="Arial" w:cs="Arial" w:eastAsia="Arial" w:hAnsi="Arial"/>
          <w:sz w:val="17"/>
          <w:szCs w:val="17"/>
          <w:color w:val="auto"/>
        </w:rPr>
        <w:t>customary payment terms and trade practices with our vendors. We regularly review the adequacy of credit available to us from all sources, and expect to be able to maintain adequate trade credit, bank credit, and other credit sources to meet our capital and liquidity requirements.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ended the first quarter of fiscal 2026 with $4.1 billion of unrestricted cash balances, which were held primarily in bank deposits, money market mutual funds, and U.S. Government and agency securities across a highly diversified set of banks and other financial institutions. We also have $1.3 billion available under our Credit Facility. We estimate that existing cash and cash equivalent balances, cash flows from operations, our Credit Facility, and trade credit are adequate to meet our operating cash needs and to fund our common stock repurchases, planned capital investments, quarterly dividend payments, debt repayments, and interest payments, for at least the next 12 months.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 2026, there have been no material changes to our contractual obligations as disclosed in our Annual Report on Form 10-K as of January 31, 2026, other than those which occur in the ordinary course of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 of fiscal 2026, there were no significant changes to the critical accounting estimates discussed in our Annual Report on Form 10-K for the year ended January 31, 2026.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This report contains a number of forward-looking statements regarding, without limitation, projected sales, costs and earnings, planned new store growth, capital expenditures, liquidity, and other matters. These forward-looking statements reflect our then-current beliefs, plans, and estimates with respect to future events and our projected financial performance, operations, and competitive position. The words “plan,” “expect,” “target,” “anticipate,” “estimate,” “believe,” “forecast,” “projected,” “guidance,” “outlook,” “looking ahead,” and similar expressions identify forward-looking statements.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Future impact from inflation, changes in tariffs on imported goods, interest rate changes, ongoing military conflicts and economic sanctions, extreme weather, public health crises (including pandemics), natural disasters, and other economic, regulatory, consumer spending, and industry events and trends that could potentially adversely affect our revenue, profitability, operating conditions, and growth are difficult to predict. Our forward-looking statements are subject to risks and uncertainties which could cause our actual results to differ materially from those forward-looking statements and our previous expectations, plans, and projections. Risks and uncertainties, any of which could adversely affect our sales, profitability, and growth, and harm our business may include (but are not limited to):</w:t>
      </w:r>
    </w:p>
    <w:p>
      <w:pPr>
        <w:spacing w:after="0" w:line="197" w:lineRule="exact"/>
        <w:rPr>
          <w:sz w:val="20"/>
          <w:szCs w:val="20"/>
          <w:color w:val="auto"/>
        </w:rPr>
      </w:pPr>
    </w:p>
    <w:p>
      <w:pPr>
        <w:ind w:left="620" w:hanging="311"/>
        <w:spacing w:after="0" w:line="261"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changes in the macroeconomic environment, government regulations and policies, geopolitical conditions, and financial and credit markets.</w:t>
      </w:r>
    </w:p>
    <w:p>
      <w:pPr>
        <w:ind w:left="620" w:hanging="311"/>
        <w:spacing w:after="0" w:line="267"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Continuing inflation and other external economic events and trends may have significant negative effects on our costs, and also on consumer confidence, shopping behavior, and spending.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ind w:left="620" w:right="480" w:hanging="311"/>
        <w:spacing w:after="0" w:line="253"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Tariff increases (or threats of increases), and other changes and uncertainty in U.S. trade or tax policy regarding apparel, home-related merchandise, shoes, and other goods we sell that is produced in other countries.</w:t>
      </w: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pressures and the pace of change in the retailing industry.</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Unexpected changes in the level of consumer spending or preferences.</w:t>
      </w:r>
    </w:p>
    <w:p>
      <w:pPr>
        <w:spacing w:after="0" w:line="9" w:lineRule="exact"/>
        <w:rPr>
          <w:rFonts w:ascii="Arial" w:cs="Arial" w:eastAsia="Arial" w:hAnsi="Arial"/>
          <w:sz w:val="17"/>
          <w:szCs w:val="17"/>
          <w:color w:val="auto"/>
        </w:rPr>
      </w:pPr>
    </w:p>
    <w:p>
      <w:pPr>
        <w:ind w:left="620" w:hanging="311"/>
        <w:spacing w:after="0" w:line="25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or unseasonable weather may affect shopping patterns and consumer demand for seasonal apparel and other merchandise, and may result in temporary store closures and disruptions in deliveries of merchandise to our stores.</w:t>
      </w:r>
    </w:p>
    <w:p>
      <w:pPr>
        <w:jc w:val="both"/>
        <w:ind w:left="620" w:hanging="311"/>
        <w:spacing w:after="0" w:line="25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dependence on the market availability, quantity, and quality of attractive brand name merchandise at desirable discounts, and on the ability of our buyers to source and purchase merchandise to enable us to offer customers a wide assortment of merchandise at competitive prices.</w:t>
      </w: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to expand in existing markets and enter new geographic markets in order to achieve growth.</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to obtain acceptable new store sites with favorable consumer demographics in order to achieve growth.</w:t>
      </w:r>
    </w:p>
    <w:p>
      <w:pPr>
        <w:spacing w:after="0" w:line="9" w:lineRule="exact"/>
        <w:rPr>
          <w:rFonts w:ascii="Arial" w:cs="Arial" w:eastAsia="Arial" w:hAnsi="Arial"/>
          <w:sz w:val="17"/>
          <w:szCs w:val="17"/>
          <w:color w:val="auto"/>
        </w:rPr>
      </w:pPr>
    </w:p>
    <w:p>
      <w:pPr>
        <w:ind w:left="620" w:hanging="311"/>
        <w:spacing w:after="0" w:line="25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to continually attract, train, and retain associates with the retail talent necessary to execute our off-price retail strategies, as well as labor shortages, increased turnover, or increased labor costs.</w:t>
      </w: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to effectively manage our inventories, markdowns, and inventory shortage in order to achieve our planned gross margins.</w:t>
      </w:r>
    </w:p>
    <w:p>
      <w:pPr>
        <w:spacing w:after="0" w:line="9" w:lineRule="exact"/>
        <w:rPr>
          <w:rFonts w:ascii="Arial" w:cs="Arial" w:eastAsia="Arial" w:hAnsi="Arial"/>
          <w:sz w:val="17"/>
          <w:szCs w:val="17"/>
          <w:color w:val="auto"/>
        </w:rPr>
      </w:pPr>
    </w:p>
    <w:p>
      <w:pPr>
        <w:jc w:val="both"/>
        <w:ind w:left="620" w:hanging="311"/>
        <w:spacing w:after="0" w:line="25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Information or data security breaches, including cyberattacks on our transaction processing and computer information systems, including malware intrusion, data exfiltration, identity theft, and other types of cybersecurity threats, could disrupt our operations, result in theft or unauthorized disclosure of our confidential and valuable business information or credit card and other customer information, and could disrupt our operations, damage our reputation, increase our costs, and create significant legal exposure.</w:t>
      </w:r>
    </w:p>
    <w:p>
      <w:pPr>
        <w:ind w:left="620" w:hanging="311"/>
        <w:spacing w:after="0" w:line="25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Disruptions in our supply chain or in our information systems could impact our ability to process sales and to deliver product to our stores in a timely and cost-effective manner.</w:t>
      </w: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importing and selling merchandise produced in other countries.</w:t>
      </w:r>
    </w:p>
    <w:p>
      <w:pPr>
        <w:spacing w:after="0" w:line="9" w:lineRule="exact"/>
        <w:rPr>
          <w:rFonts w:ascii="Arial" w:cs="Arial" w:eastAsia="Arial" w:hAnsi="Arial"/>
          <w:sz w:val="17"/>
          <w:szCs w:val="17"/>
          <w:color w:val="auto"/>
        </w:rPr>
      </w:pPr>
    </w:p>
    <w:p>
      <w:pPr>
        <w:ind w:left="620" w:hanging="311"/>
        <w:spacing w:after="0" w:line="23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Damage to our corporate reputation or brands.</w:t>
      </w: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natural or man-made disaster in a region where we have a concentration of stores, offices, or a distribution center.</w:t>
      </w:r>
    </w:p>
    <w:p>
      <w:pPr>
        <w:spacing w:after="0" w:line="9" w:lineRule="exact"/>
        <w:rPr>
          <w:rFonts w:ascii="Arial" w:cs="Arial" w:eastAsia="Arial" w:hAnsi="Arial"/>
          <w:sz w:val="17"/>
          <w:szCs w:val="17"/>
          <w:color w:val="auto"/>
        </w:rPr>
      </w:pPr>
    </w:p>
    <w:p>
      <w:pPr>
        <w:ind w:left="620" w:hanging="311"/>
        <w:spacing w:after="0" w:line="25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Consumer problems or legal issues involving the quality, safety, or authenticity of products we sell could harm our reputation, result in lost sales, and/or increase our costs.</w:t>
      </w:r>
    </w:p>
    <w:p>
      <w:pPr>
        <w:ind w:left="620" w:hanging="31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adverse outcome in various legal, regulatory, or tax matters, could damage our reputation or brand and increase our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factors underlying our forecasts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risks, which primarily include changes in interest rates. We do not engage in financial transactions for trading or speculative purposes.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that is payable on our Credit Facility is based on variable interest rates and is therefore affected by changes in market interest rates. As of May 2, 2026, we had no borrowings outstanding under the Credit Facility.</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 2026, we had outstanding four series of unsecured Senior Notes. Interest that is payable on all series of our Senior Notes is based on fixed interest rates, and is therefore unaffected by changes in market interest rates.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receive interest payments on our cash and cash equivalents and restricted cash and cash equivalents. Changes in interest rates may impact the interest income we recognize in the future.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 hypothetical 100 basis point increase or decrease in prevailing market interest rates would not have a material negative impact on our financial position, results of operations, cash flows, or the fair values of our cash and cash equivalents and restricted cash and cash equivalents as of and for the three month period ended May 2, 2026. We do not consider the potential losses in future earnings and cash flows from reasonably possible, near-term changes in interest rates to be material.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defined in Exchange Act Rule 13a-15(e)) as of the end of the period covered by this report. Our disclosure controls and procedures are designed to provide reasonable assurance of achieving their objectives. Based on that evaluation, our Chief Executive Officer and Chief Financial Officer concluded that our disclosure controls and procedures were effective at that reasonable assurance level as of the end of the period covered by this report.</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Evaluation of Changes in Internal Control Over Financial Reporting</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also conducted an evaluation of our internal control over financial reporting to determine whether any change occurred during the first quarter of fiscal 2026 that has materially affected, or is reasonably likely to materially affect, our internal control over financial reporting. Based on that evaluation, our management concluded that there was no such change during the first quarter of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matters under the caption “Commitments and contingencies” in Note A: Summary of Significant Accounting Policies of the Notes to the Condensed Consolidated Financial Statements are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See Part I, Item 1A of our Annual Report on Form 10-K for the fiscal year ended January 31, 2026 for a description of risks and uncertainties associated with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shares of common stock we repurchased during the first quarter of fiscal 2026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179070</wp:posOffset>
            </wp:positionV>
            <wp:extent cx="7139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Total number of</w:t>
            </w:r>
          </w:p>
        </w:tc>
        <w:tc>
          <w:tcPr>
            <w:tcW w:w="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Maximum number</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shares</w:t>
            </w:r>
          </w:p>
        </w:tc>
        <w:tc>
          <w:tcPr>
            <w:tcW w:w="440" w:type="dxa"/>
            <w:vAlign w:val="bottom"/>
          </w:tcPr>
          <w:p>
            <w:pPr>
              <w:spacing w:after="0"/>
              <w:rPr>
                <w:sz w:val="15"/>
                <w:szCs w:val="15"/>
                <w:color w:val="auto"/>
              </w:rPr>
            </w:pPr>
          </w:p>
        </w:tc>
        <w:tc>
          <w:tcPr>
            <w:tcW w:w="168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(or approximate</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jc w:val="right"/>
              <w:spacing w:after="0" w:line="171" w:lineRule="exact"/>
              <w:rPr>
                <w:sz w:val="20"/>
                <w:szCs w:val="20"/>
                <w:color w:val="auto"/>
              </w:rPr>
            </w:pPr>
            <w:r>
              <w:rPr>
                <w:rFonts w:ascii="Arial" w:cs="Arial" w:eastAsia="Arial" w:hAnsi="Arial"/>
                <w:sz w:val="17"/>
                <w:szCs w:val="17"/>
                <w:b w:val="1"/>
                <w:bCs w:val="1"/>
                <w:color w:val="auto"/>
              </w:rPr>
              <w:t>(or units)</w:t>
            </w:r>
          </w:p>
        </w:tc>
        <w:tc>
          <w:tcPr>
            <w:tcW w:w="44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Arial" w:cs="Arial" w:eastAsia="Arial" w:hAnsi="Arial"/>
                <w:sz w:val="17"/>
                <w:szCs w:val="17"/>
                <w:b w:val="1"/>
                <w:bCs w:val="1"/>
                <w:color w:val="auto"/>
              </w:rPr>
              <w:t>dollar value) of</w:t>
            </w: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purchased as</w:t>
            </w:r>
          </w:p>
        </w:tc>
        <w:tc>
          <w:tcPr>
            <w:tcW w:w="440" w:type="dxa"/>
            <w:vAlign w:val="bottom"/>
          </w:tcPr>
          <w:p>
            <w:pPr>
              <w:spacing w:after="0"/>
              <w:rPr>
                <w:sz w:val="14"/>
                <w:szCs w:val="14"/>
                <w:color w:val="auto"/>
              </w:rPr>
            </w:pPr>
          </w:p>
        </w:tc>
        <w:tc>
          <w:tcPr>
            <w:tcW w:w="168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shares (or units)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Average price</w:t>
            </w:r>
          </w:p>
        </w:tc>
        <w:tc>
          <w:tcPr>
            <w:tcW w:w="200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part of publicly</w:t>
            </w:r>
          </w:p>
        </w:tc>
        <w:tc>
          <w:tcPr>
            <w:tcW w:w="440" w:type="dxa"/>
            <w:vAlign w:val="bottom"/>
          </w:tcPr>
          <w:p>
            <w:pPr>
              <w:spacing w:after="0"/>
              <w:rPr>
                <w:sz w:val="15"/>
                <w:szCs w:val="15"/>
                <w:color w:val="auto"/>
              </w:rPr>
            </w:pPr>
          </w:p>
        </w:tc>
        <w:tc>
          <w:tcPr>
            <w:tcW w:w="168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that may yet be</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 number of shares</w:t>
            </w:r>
          </w:p>
        </w:tc>
        <w:tc>
          <w:tcPr>
            <w:tcW w:w="5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2000" w:type="dxa"/>
            <w:vAlign w:val="bottom"/>
          </w:tcPr>
          <w:p>
            <w:pPr>
              <w:jc w:val="right"/>
              <w:spacing w:after="0" w:line="171" w:lineRule="exact"/>
              <w:rPr>
                <w:sz w:val="20"/>
                <w:szCs w:val="20"/>
                <w:color w:val="auto"/>
              </w:rPr>
            </w:pPr>
            <w:r>
              <w:rPr>
                <w:rFonts w:ascii="Arial" w:cs="Arial" w:eastAsia="Arial" w:hAnsi="Arial"/>
                <w:sz w:val="17"/>
                <w:szCs w:val="17"/>
                <w:b w:val="1"/>
                <w:bCs w:val="1"/>
                <w:color w:val="auto"/>
              </w:rPr>
              <w:t>announced</w:t>
            </w:r>
          </w:p>
        </w:tc>
        <w:tc>
          <w:tcPr>
            <w:tcW w:w="44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Arial" w:cs="Arial" w:eastAsia="Arial" w:hAnsi="Arial"/>
                <w:sz w:val="17"/>
                <w:szCs w:val="17"/>
                <w:b w:val="1"/>
                <w:bCs w:val="1"/>
                <w:color w:val="auto"/>
              </w:rPr>
              <w:t>purchased under</w:t>
            </w:r>
          </w:p>
        </w:tc>
        <w:tc>
          <w:tcPr>
            <w:tcW w:w="0" w:type="dxa"/>
            <w:vAlign w:val="bottom"/>
          </w:tcPr>
          <w:p>
            <w:pPr>
              <w:spacing w:after="0"/>
              <w:rPr>
                <w:sz w:val="1"/>
                <w:szCs w:val="1"/>
                <w:color w:val="auto"/>
              </w:rPr>
            </w:pPr>
          </w:p>
        </w:tc>
      </w:tr>
      <w:tr>
        <w:trPr>
          <w:trHeight w:val="166"/>
        </w:trPr>
        <w:tc>
          <w:tcPr>
            <w:tcW w:w="29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2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35"/>
              <w:spacing w:after="0" w:line="167" w:lineRule="exact"/>
              <w:rPr>
                <w:sz w:val="20"/>
                <w:szCs w:val="20"/>
                <w:color w:val="auto"/>
              </w:rPr>
            </w:pPr>
            <w:r>
              <w:rPr>
                <w:rFonts w:ascii="Arial" w:cs="Arial" w:eastAsia="Arial" w:hAnsi="Arial"/>
                <w:sz w:val="17"/>
                <w:szCs w:val="17"/>
                <w:b w:val="1"/>
                <w:bCs w:val="1"/>
                <w:color w:val="auto"/>
              </w:rPr>
              <w:t>paid per share</w:t>
            </w:r>
          </w:p>
        </w:tc>
        <w:tc>
          <w:tcPr>
            <w:tcW w:w="200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plans or</w:t>
            </w:r>
          </w:p>
        </w:tc>
        <w:tc>
          <w:tcPr>
            <w:tcW w:w="440" w:type="dxa"/>
            <w:vAlign w:val="bottom"/>
          </w:tcPr>
          <w:p>
            <w:pPr>
              <w:spacing w:after="0"/>
              <w:rPr>
                <w:sz w:val="14"/>
                <w:szCs w:val="14"/>
                <w:color w:val="auto"/>
              </w:rPr>
            </w:pPr>
          </w:p>
        </w:tc>
        <w:tc>
          <w:tcPr>
            <w:tcW w:w="168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the plans or</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7"/>
                <w:szCs w:val="17"/>
                <w:b w:val="1"/>
                <w:bCs w:val="1"/>
                <w:color w:val="auto"/>
              </w:rPr>
              <w:t>(or units) purchased</w:t>
            </w:r>
            <w:r>
              <w:rPr>
                <w:rFonts w:ascii="Arial" w:cs="Arial" w:eastAsia="Arial" w:hAnsi="Arial"/>
                <w:sz w:val="22"/>
                <w:szCs w:val="22"/>
                <w:b w:val="1"/>
                <w:bCs w:val="1"/>
                <w:color w:val="auto"/>
                <w:vertAlign w:val="superscript"/>
              </w:rPr>
              <w:t>1</w:t>
            </w:r>
          </w:p>
        </w:tc>
        <w:tc>
          <w:tcPr>
            <w:tcW w:w="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(or unit)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programs</w:t>
            </w: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7"/>
                <w:szCs w:val="17"/>
                <w:b w:val="1"/>
                <w:bCs w:val="1"/>
                <w:color w:val="auto"/>
              </w:rPr>
              <w:t>programs ($000)</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w:t>
            </w: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(2/1/2026 - 2/28/2026)</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7"/>
                <w:szCs w:val="17"/>
                <w:color w:val="auto"/>
              </w:rPr>
              <w:t>March</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20" w:type="dxa"/>
            <w:vAlign w:val="bottom"/>
          </w:tcPr>
          <w:p>
            <w:pPr>
              <w:ind w:left="20"/>
              <w:spacing w:after="0"/>
              <w:rPr>
                <w:sz w:val="20"/>
                <w:szCs w:val="20"/>
                <w:color w:val="auto"/>
              </w:rPr>
            </w:pPr>
            <w:r>
              <w:rPr>
                <w:rFonts w:ascii="Arial" w:cs="Arial" w:eastAsia="Arial" w:hAnsi="Arial"/>
                <w:sz w:val="17"/>
                <w:szCs w:val="17"/>
                <w:color w:val="auto"/>
              </w:rPr>
              <w:t>(3/1/2026 - 4/4/2026)</w:t>
            </w:r>
          </w:p>
        </w:tc>
        <w:tc>
          <w:tcPr>
            <w:tcW w:w="2000" w:type="dxa"/>
            <w:vAlign w:val="bottom"/>
          </w:tcPr>
          <w:p>
            <w:pPr>
              <w:jc w:val="right"/>
              <w:spacing w:after="0"/>
              <w:rPr>
                <w:sz w:val="20"/>
                <w:szCs w:val="20"/>
                <w:color w:val="auto"/>
              </w:rPr>
            </w:pPr>
            <w:r>
              <w:rPr>
                <w:rFonts w:ascii="Arial" w:cs="Arial" w:eastAsia="Arial" w:hAnsi="Arial"/>
                <w:sz w:val="17"/>
                <w:szCs w:val="17"/>
                <w:color w:val="auto"/>
              </w:rPr>
              <w:t>1,286,091</w:t>
            </w:r>
          </w:p>
        </w:tc>
        <w:tc>
          <w:tcPr>
            <w:tcW w:w="560" w:type="dxa"/>
            <w:vAlign w:val="bottom"/>
          </w:tcPr>
          <w:p>
            <w:pPr>
              <w:spacing w:after="0"/>
              <w:rPr>
                <w:sz w:val="19"/>
                <w:szCs w:val="19"/>
                <w:color w:val="auto"/>
              </w:rPr>
            </w:pP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211.99</w:t>
            </w:r>
          </w:p>
        </w:tc>
        <w:tc>
          <w:tcPr>
            <w:tcW w:w="2000" w:type="dxa"/>
            <w:vAlign w:val="bottom"/>
          </w:tcPr>
          <w:p>
            <w:pPr>
              <w:jc w:val="right"/>
              <w:spacing w:after="0"/>
              <w:rPr>
                <w:sz w:val="20"/>
                <w:szCs w:val="20"/>
                <w:color w:val="auto"/>
              </w:rPr>
            </w:pPr>
            <w:r>
              <w:rPr>
                <w:rFonts w:ascii="Arial" w:cs="Arial" w:eastAsia="Arial" w:hAnsi="Arial"/>
                <w:sz w:val="17"/>
                <w:szCs w:val="17"/>
                <w:color w:val="auto"/>
              </w:rPr>
              <w:t>666,209</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2,408,340</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w:t>
            </w:r>
          </w:p>
        </w:tc>
        <w:tc>
          <w:tcPr>
            <w:tcW w:w="2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(4/5/2026 - 5/2/2026)</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802,280</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224.73</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788,196</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2,231,250</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7"/>
                <w:szCs w:val="17"/>
                <w:color w:val="auto"/>
              </w:rPr>
              <w:t>Total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2,088,371</w:t>
            </w:r>
          </w:p>
        </w:tc>
        <w:tc>
          <w:tcPr>
            <w:tcW w:w="56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216.88</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1,454,405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2,231,250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2"/>
        <w:spacing w:after="0" w:line="216" w:lineRule="auto"/>
        <w:tabs>
          <w:tab w:leader="none" w:pos="74"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acquired 634,000 shares of treasury stock during the quarter ended May 2, 2026. Treasury stock includes shares acquired from employees for tax withholding purposes related to vesting of restricted stock grants.</w:t>
      </w:r>
    </w:p>
    <w:p>
      <w:pPr>
        <w:spacing w:after="0"/>
        <w:rPr>
          <w:rFonts w:ascii="Arial" w:cs="Arial" w:eastAsia="Arial" w:hAnsi="Arial"/>
          <w:sz w:val="18"/>
          <w:szCs w:val="18"/>
          <w:color w:val="auto"/>
          <w:vertAlign w:val="superscript"/>
        </w:rPr>
      </w:pPr>
      <w:r>
        <w:rPr>
          <w:rFonts w:ascii="Arial" w:cs="Arial" w:eastAsia="Arial" w:hAnsi="Arial"/>
          <w:sz w:val="9"/>
          <w:szCs w:val="9"/>
          <w:color w:val="auto"/>
        </w:rPr>
        <w:t xml:space="preserve">2 </w:t>
      </w:r>
      <w:r>
        <w:rPr>
          <w:rFonts w:ascii="Arial" w:cs="Arial" w:eastAsia="Arial" w:hAnsi="Arial"/>
          <w:sz w:val="13"/>
          <w:szCs w:val="13"/>
          <w:color w:val="auto"/>
        </w:rPr>
        <w:t>On March 3, 2026, we announced that our Board of Directors approved a new, two-year program to repurchase up to $2.55 billion of our common stock through January 29,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6. EXHIBITS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ind w:left="20"/>
              <w:spacing w:after="0"/>
              <w:rPr>
                <w:sz w:val="20"/>
                <w:szCs w:val="20"/>
                <w:color w:val="auto"/>
              </w:rPr>
            </w:pPr>
            <w:r>
              <w:rPr>
                <w:rFonts w:ascii="Arial" w:cs="Arial" w:eastAsia="Arial" w:hAnsi="Arial"/>
                <w:sz w:val="17"/>
                <w:szCs w:val="17"/>
                <w:color w:val="auto"/>
              </w:rPr>
              <w:t>Exhibit</w:t>
            </w:r>
          </w:p>
        </w:tc>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Number</w:t>
            </w:r>
          </w:p>
        </w:tc>
        <w:tc>
          <w:tcPr>
            <w:tcW w:w="1024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auto"/>
              </w:rPr>
              <w:t>Exhibit</w:t>
            </w:r>
          </w:p>
        </w:tc>
      </w:tr>
      <w:tr>
        <w:trPr>
          <w:trHeight w:val="185"/>
        </w:trPr>
        <w:tc>
          <w:tcPr>
            <w:tcW w:w="100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7"/>
                <w:szCs w:val="17"/>
                <w:color w:val="auto"/>
              </w:rPr>
              <w:t>3.1</w:t>
            </w:r>
          </w:p>
        </w:tc>
        <w:tc>
          <w:tcPr>
            <w:tcW w:w="10220" w:type="dxa"/>
            <w:vAlign w:val="bottom"/>
            <w:tcBorders>
              <w:bottom w:val="single" w:sz="8" w:color="0000FF"/>
            </w:tcBorders>
            <w:gridSpan w:val="7"/>
            <w:shd w:val="clear" w:color="auto" w:fill="CCEEFF"/>
          </w:tcPr>
          <w:p>
            <w:pPr>
              <w:spacing w:after="0" w:line="185" w:lineRule="exact"/>
              <w:rPr>
                <w:rFonts w:ascii="Arial" w:cs="Arial" w:eastAsia="Arial" w:hAnsi="Arial"/>
                <w:sz w:val="17"/>
                <w:szCs w:val="17"/>
                <w:color w:val="0000FF"/>
              </w:rPr>
            </w:pPr>
            <w:hyperlink r:id="rId35">
              <w:r>
                <w:rPr>
                  <w:rFonts w:ascii="Arial" w:cs="Arial" w:eastAsia="Arial" w:hAnsi="Arial"/>
                  <w:sz w:val="17"/>
                  <w:szCs w:val="17"/>
                  <w:color w:val="0000FF"/>
                </w:rPr>
                <w:t>Certificate of Incorporation of Ross Stores, Inc. as amended (Corrected First Restated Certificate of Incorporation, dated March 17,</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5"/>
        </w:trPr>
        <w:tc>
          <w:tcPr>
            <w:tcW w:w="1000" w:type="dxa"/>
            <w:vAlign w:val="bottom"/>
            <w:tcBorders>
              <w:bottom w:val="single" w:sz="8" w:color="CCEEFF"/>
            </w:tcBorders>
            <w:shd w:val="clear" w:color="auto" w:fill="CCEEFF"/>
          </w:tcPr>
          <w:p>
            <w:pPr>
              <w:spacing w:after="0"/>
              <w:rPr>
                <w:sz w:val="16"/>
                <w:szCs w:val="16"/>
                <w:color w:val="auto"/>
              </w:rPr>
            </w:pPr>
          </w:p>
        </w:tc>
        <w:tc>
          <w:tcPr>
            <w:tcW w:w="10240" w:type="dxa"/>
            <w:vAlign w:val="bottom"/>
            <w:tcBorders>
              <w:bottom w:val="single" w:sz="8" w:color="0000FF"/>
            </w:tcBorders>
            <w:gridSpan w:val="8"/>
            <w:shd w:val="clear" w:color="auto" w:fill="CCEEFF"/>
          </w:tcPr>
          <w:p>
            <w:pPr>
              <w:spacing w:after="0" w:line="185" w:lineRule="exact"/>
              <w:rPr>
                <w:rFonts w:ascii="Arial" w:cs="Arial" w:eastAsia="Arial" w:hAnsi="Arial"/>
                <w:sz w:val="17"/>
                <w:szCs w:val="17"/>
                <w:color w:val="0000FF"/>
              </w:rPr>
            </w:pPr>
            <w:hyperlink r:id="rId35">
              <w:r>
                <w:rPr>
                  <w:rFonts w:ascii="Arial" w:cs="Arial" w:eastAsia="Arial" w:hAnsi="Arial"/>
                  <w:sz w:val="17"/>
                  <w:szCs w:val="17"/>
                  <w:color w:val="0000FF"/>
                </w:rPr>
                <w:t>1999, together with amendments thereto through Amendment of Certificate of Incorporation dated May 29, 2015) incorporated by</w:t>
              </w:r>
            </w:hyperlink>
          </w:p>
        </w:tc>
      </w:tr>
      <w:tr>
        <w:trPr>
          <w:trHeight w:val="229"/>
        </w:trPr>
        <w:tc>
          <w:tcPr>
            <w:tcW w:w="1000" w:type="dxa"/>
            <w:vAlign w:val="bottom"/>
            <w:shd w:val="clear" w:color="auto" w:fill="CCEEFF"/>
          </w:tcPr>
          <w:p>
            <w:pPr>
              <w:spacing w:after="0"/>
              <w:rPr>
                <w:sz w:val="19"/>
                <w:szCs w:val="19"/>
                <w:color w:val="auto"/>
              </w:rPr>
            </w:pPr>
          </w:p>
        </w:tc>
        <w:tc>
          <w:tcPr>
            <w:tcW w:w="10240" w:type="dxa"/>
            <w:vAlign w:val="bottom"/>
            <w:gridSpan w:val="8"/>
            <w:shd w:val="clear" w:color="auto" w:fill="CCEEFF"/>
          </w:tcPr>
          <w:p>
            <w:pPr>
              <w:spacing w:after="0" w:line="185" w:lineRule="exact"/>
              <w:rPr>
                <w:rFonts w:ascii="Arial" w:cs="Arial" w:eastAsia="Arial" w:hAnsi="Arial"/>
                <w:sz w:val="17"/>
                <w:szCs w:val="17"/>
                <w:color w:val="0000FF"/>
              </w:rPr>
            </w:pPr>
            <w:hyperlink r:id="rId35">
              <w:r>
                <w:rPr>
                  <w:rFonts w:ascii="Arial" w:cs="Arial" w:eastAsia="Arial" w:hAnsi="Arial"/>
                  <w:sz w:val="17"/>
                  <w:szCs w:val="17"/>
                  <w:color w:val="0000FF"/>
                </w:rPr>
                <w:t>reference to Exhibit 3.1 to the Form 10-Q filed by Ross Stores, Inc. for its quarter ended August 1, 2015.</w:t>
              </w:r>
            </w:hyperlink>
          </w:p>
        </w:tc>
      </w:tr>
      <w:tr>
        <w:trPr>
          <w:trHeight w:val="217"/>
        </w:trPr>
        <w:tc>
          <w:tcPr>
            <w:tcW w:w="1000" w:type="dxa"/>
            <w:vAlign w:val="bottom"/>
            <w:tcBorders>
              <w:top w:val="single" w:sz="8" w:color="CCEEFF"/>
            </w:tcBorders>
          </w:tcPr>
          <w:p>
            <w:pPr>
              <w:spacing w:after="0"/>
              <w:rPr>
                <w:sz w:val="18"/>
                <w:szCs w:val="18"/>
                <w:color w:val="auto"/>
              </w:rPr>
            </w:pPr>
          </w:p>
        </w:tc>
        <w:tc>
          <w:tcPr>
            <w:tcW w:w="3700" w:type="dxa"/>
            <w:vAlign w:val="bottom"/>
            <w:tcBorders>
              <w:top w:val="single" w:sz="8" w:color="0000FF"/>
            </w:tcBorders>
          </w:tcPr>
          <w:p>
            <w:pPr>
              <w:spacing w:after="0"/>
              <w:rPr>
                <w:sz w:val="18"/>
                <w:szCs w:val="18"/>
                <w:color w:val="auto"/>
              </w:rPr>
            </w:pPr>
          </w:p>
        </w:tc>
        <w:tc>
          <w:tcPr>
            <w:tcW w:w="16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2"/>
        </w:trPr>
        <w:tc>
          <w:tcPr>
            <w:tcW w:w="100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3.2</w:t>
            </w:r>
          </w:p>
        </w:tc>
        <w:tc>
          <w:tcPr>
            <w:tcW w:w="10240" w:type="dxa"/>
            <w:vAlign w:val="bottom"/>
            <w:gridSpan w:val="8"/>
            <w:shd w:val="clear" w:color="auto" w:fill="CCEEFF"/>
          </w:tcPr>
          <w:p>
            <w:pPr>
              <w:spacing w:after="0" w:line="192" w:lineRule="exact"/>
              <w:rPr>
                <w:rFonts w:ascii="Arial" w:cs="Arial" w:eastAsia="Arial" w:hAnsi="Arial"/>
                <w:sz w:val="17"/>
                <w:szCs w:val="17"/>
                <w:color w:val="0000FF"/>
              </w:rPr>
            </w:pPr>
            <w:hyperlink r:id="rId36">
              <w:r>
                <w:rPr>
                  <w:rFonts w:ascii="Arial" w:cs="Arial" w:eastAsia="Arial" w:hAnsi="Arial"/>
                  <w:sz w:val="17"/>
                  <w:szCs w:val="17"/>
                  <w:color w:val="0000FF"/>
                </w:rPr>
                <w:t>Amended and Restated Bylaws of Ross Stores, Inc. (as amended March 8, 2023), incorporated by reference to Exhibit 3.2 to the Form</w:t>
              </w:r>
            </w:hyperlink>
          </w:p>
        </w:tc>
      </w:tr>
      <w:tr>
        <w:trPr>
          <w:trHeight w:val="229"/>
        </w:trPr>
        <w:tc>
          <w:tcPr>
            <w:tcW w:w="100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0000FF"/>
            </w:tcBorders>
            <w:gridSpan w:val="7"/>
            <w:shd w:val="clear" w:color="auto" w:fill="CCEEFF"/>
          </w:tcPr>
          <w:p>
            <w:pPr>
              <w:spacing w:after="0" w:line="185" w:lineRule="exact"/>
              <w:rPr>
                <w:rFonts w:ascii="Arial" w:cs="Arial" w:eastAsia="Arial" w:hAnsi="Arial"/>
                <w:sz w:val="17"/>
                <w:szCs w:val="17"/>
                <w:color w:val="0000FF"/>
              </w:rPr>
            </w:pPr>
            <w:hyperlink r:id="rId36">
              <w:r>
                <w:rPr>
                  <w:rFonts w:ascii="Arial" w:cs="Arial" w:eastAsia="Arial" w:hAnsi="Arial"/>
                  <w:sz w:val="17"/>
                  <w:szCs w:val="17"/>
                  <w:color w:val="0000FF"/>
                </w:rPr>
                <w:t>8-K filed by Ross Stores, Inc. on March 14, 2023.</w:t>
              </w:r>
            </w:hyperlink>
          </w:p>
        </w:tc>
        <w:tc>
          <w:tcPr>
            <w:tcW w:w="20" w:type="dxa"/>
            <w:vAlign w:val="bottom"/>
            <w:tcBorders>
              <w:top w:val="single" w:sz="8" w:color="CCEEFF"/>
            </w:tcBorders>
            <w:shd w:val="clear" w:color="auto" w:fill="CCEEFF"/>
          </w:tcPr>
          <w:p>
            <w:pPr>
              <w:spacing w:after="0"/>
              <w:rPr>
                <w:sz w:val="19"/>
                <w:szCs w:val="19"/>
                <w:color w:val="auto"/>
              </w:rPr>
            </w:pPr>
          </w:p>
        </w:tc>
      </w:tr>
      <w:tr>
        <w:trPr>
          <w:trHeight w:val="243"/>
        </w:trPr>
        <w:tc>
          <w:tcPr>
            <w:tcW w:w="1000" w:type="dxa"/>
            <w:vAlign w:val="bottom"/>
            <w:tcBorders>
              <w:top w:val="single" w:sz="8" w:color="CCEEFF"/>
            </w:tcBorders>
          </w:tcPr>
          <w:p>
            <w:pPr>
              <w:spacing w:after="0"/>
              <w:rPr>
                <w:sz w:val="21"/>
                <w:szCs w:val="21"/>
                <w:color w:val="auto"/>
              </w:rPr>
            </w:pPr>
          </w:p>
        </w:tc>
        <w:tc>
          <w:tcPr>
            <w:tcW w:w="3700" w:type="dxa"/>
            <w:vAlign w:val="bottom"/>
            <w:tcBorders>
              <w:top w:val="single" w:sz="8" w:color="0000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9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97"/>
        </w:trPr>
        <w:tc>
          <w:tcPr>
            <w:tcW w:w="100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10.1</w:t>
            </w:r>
          </w:p>
        </w:tc>
        <w:tc>
          <w:tcPr>
            <w:tcW w:w="10240" w:type="dxa"/>
            <w:vAlign w:val="bottom"/>
            <w:gridSpan w:val="8"/>
            <w:shd w:val="clear" w:color="auto" w:fill="CCEEFF"/>
          </w:tcPr>
          <w:p>
            <w:pPr>
              <w:spacing w:after="0" w:line="179" w:lineRule="exact"/>
              <w:rPr>
                <w:sz w:val="20"/>
                <w:szCs w:val="20"/>
                <w:color w:val="auto"/>
              </w:rPr>
            </w:pPr>
            <w:r>
              <w:rPr>
                <w:rFonts w:ascii="Arial" w:cs="Arial" w:eastAsia="Arial" w:hAnsi="Arial"/>
                <w:sz w:val="17"/>
                <w:szCs w:val="17"/>
                <w:color w:val="0000FF"/>
              </w:rPr>
              <w:t>Form of Executive Employment Agreement for Executive Officers (CA)</w:t>
            </w:r>
          </w:p>
        </w:tc>
      </w:tr>
      <w:tr>
        <w:trPr>
          <w:trHeight w:val="256"/>
        </w:trPr>
        <w:tc>
          <w:tcPr>
            <w:tcW w:w="1000" w:type="dxa"/>
            <w:vAlign w:val="bottom"/>
            <w:tcBorders>
              <w:top w:val="single" w:sz="8" w:color="CCEEFF"/>
            </w:tcBorders>
          </w:tcPr>
          <w:p>
            <w:pPr>
              <w:spacing w:after="0"/>
              <w:rPr>
                <w:sz w:val="22"/>
                <w:szCs w:val="22"/>
                <w:color w:val="auto"/>
              </w:rPr>
            </w:pPr>
          </w:p>
        </w:tc>
        <w:tc>
          <w:tcPr>
            <w:tcW w:w="3700" w:type="dxa"/>
            <w:vAlign w:val="bottom"/>
            <w:tcBorders>
              <w:top w:val="single" w:sz="8" w:color="0000FF"/>
            </w:tcBorders>
          </w:tcPr>
          <w:p>
            <w:pPr>
              <w:spacing w:after="0"/>
              <w:rPr>
                <w:sz w:val="22"/>
                <w:szCs w:val="22"/>
                <w:color w:val="auto"/>
              </w:rPr>
            </w:pPr>
          </w:p>
        </w:tc>
        <w:tc>
          <w:tcPr>
            <w:tcW w:w="1600" w:type="dxa"/>
            <w:vAlign w:val="bottom"/>
            <w:tcBorders>
              <w:top w:val="single" w:sz="8" w:color="0000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9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97"/>
        </w:trPr>
        <w:tc>
          <w:tcPr>
            <w:tcW w:w="100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10.2</w:t>
            </w:r>
          </w:p>
        </w:tc>
        <w:tc>
          <w:tcPr>
            <w:tcW w:w="10240" w:type="dxa"/>
            <w:vAlign w:val="bottom"/>
            <w:gridSpan w:val="8"/>
            <w:shd w:val="clear" w:color="auto" w:fill="CCEEFF"/>
          </w:tcPr>
          <w:p>
            <w:pPr>
              <w:spacing w:after="0" w:line="179" w:lineRule="exact"/>
              <w:rPr>
                <w:sz w:val="20"/>
                <w:szCs w:val="20"/>
                <w:color w:val="auto"/>
              </w:rPr>
            </w:pPr>
            <w:r>
              <w:rPr>
                <w:rFonts w:ascii="Arial" w:cs="Arial" w:eastAsia="Arial" w:hAnsi="Arial"/>
                <w:sz w:val="17"/>
                <w:szCs w:val="17"/>
                <w:color w:val="0000FF"/>
              </w:rPr>
              <w:t>Form of Executive Employment Agreement for Executive Officers (NON-CA)</w:t>
            </w:r>
          </w:p>
        </w:tc>
      </w:tr>
      <w:tr>
        <w:trPr>
          <w:trHeight w:val="256"/>
        </w:trPr>
        <w:tc>
          <w:tcPr>
            <w:tcW w:w="1000" w:type="dxa"/>
            <w:vAlign w:val="bottom"/>
            <w:tcBorders>
              <w:top w:val="single" w:sz="8" w:color="CCEEFF"/>
            </w:tcBorders>
          </w:tcPr>
          <w:p>
            <w:pPr>
              <w:spacing w:after="0"/>
              <w:rPr>
                <w:sz w:val="22"/>
                <w:szCs w:val="22"/>
                <w:color w:val="auto"/>
              </w:rPr>
            </w:pPr>
          </w:p>
        </w:tc>
        <w:tc>
          <w:tcPr>
            <w:tcW w:w="3700" w:type="dxa"/>
            <w:vAlign w:val="bottom"/>
            <w:tcBorders>
              <w:top w:val="single" w:sz="8" w:color="0000FF"/>
            </w:tcBorders>
          </w:tcPr>
          <w:p>
            <w:pPr>
              <w:spacing w:after="0"/>
              <w:rPr>
                <w:sz w:val="22"/>
                <w:szCs w:val="22"/>
                <w:color w:val="auto"/>
              </w:rPr>
            </w:pPr>
          </w:p>
        </w:tc>
        <w:tc>
          <w:tcPr>
            <w:tcW w:w="16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9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97"/>
        </w:trPr>
        <w:tc>
          <w:tcPr>
            <w:tcW w:w="100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10.3</w:t>
            </w:r>
          </w:p>
        </w:tc>
        <w:tc>
          <w:tcPr>
            <w:tcW w:w="10240" w:type="dxa"/>
            <w:vAlign w:val="bottom"/>
            <w:gridSpan w:val="8"/>
            <w:shd w:val="clear" w:color="auto" w:fill="CCEEFF"/>
          </w:tcPr>
          <w:p>
            <w:pPr>
              <w:spacing w:after="0" w:line="179" w:lineRule="exact"/>
              <w:rPr>
                <w:sz w:val="20"/>
                <w:szCs w:val="20"/>
                <w:color w:val="auto"/>
              </w:rPr>
            </w:pPr>
            <w:r>
              <w:rPr>
                <w:rFonts w:ascii="Arial" w:cs="Arial" w:eastAsia="Arial" w:hAnsi="Arial"/>
                <w:sz w:val="17"/>
                <w:szCs w:val="17"/>
                <w:color w:val="0000FF"/>
              </w:rPr>
              <w:t>Executive Employment Agreement effective March 16, 2026 between Michael Hartshorn and Ross Stores, Inc.</w:t>
            </w:r>
          </w:p>
        </w:tc>
      </w:tr>
      <w:tr>
        <w:trPr>
          <w:trHeight w:val="256"/>
        </w:trPr>
        <w:tc>
          <w:tcPr>
            <w:tcW w:w="1000" w:type="dxa"/>
            <w:vAlign w:val="bottom"/>
            <w:tcBorders>
              <w:top w:val="single" w:sz="8" w:color="CCEEFF"/>
            </w:tcBorders>
          </w:tcPr>
          <w:p>
            <w:pPr>
              <w:spacing w:after="0"/>
              <w:rPr>
                <w:sz w:val="22"/>
                <w:szCs w:val="22"/>
                <w:color w:val="auto"/>
              </w:rPr>
            </w:pPr>
          </w:p>
        </w:tc>
        <w:tc>
          <w:tcPr>
            <w:tcW w:w="3700" w:type="dxa"/>
            <w:vAlign w:val="bottom"/>
            <w:tcBorders>
              <w:top w:val="single" w:sz="8" w:color="0000FF"/>
            </w:tcBorders>
          </w:tcPr>
          <w:p>
            <w:pPr>
              <w:spacing w:after="0"/>
              <w:rPr>
                <w:sz w:val="22"/>
                <w:szCs w:val="22"/>
                <w:color w:val="auto"/>
              </w:rPr>
            </w:pPr>
          </w:p>
        </w:tc>
        <w:tc>
          <w:tcPr>
            <w:tcW w:w="16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9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179"/>
        </w:trPr>
        <w:tc>
          <w:tcPr>
            <w:tcW w:w="100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10.4</w:t>
            </w:r>
          </w:p>
        </w:tc>
        <w:tc>
          <w:tcPr>
            <w:tcW w:w="10240" w:type="dxa"/>
            <w:vAlign w:val="bottom"/>
            <w:gridSpan w:val="8"/>
            <w:shd w:val="clear" w:color="auto" w:fill="CCEEFF"/>
          </w:tcPr>
          <w:p>
            <w:pPr>
              <w:spacing w:after="0" w:line="179" w:lineRule="exact"/>
              <w:rPr>
                <w:sz w:val="20"/>
                <w:szCs w:val="20"/>
                <w:color w:val="auto"/>
              </w:rPr>
            </w:pPr>
            <w:r>
              <w:rPr>
                <w:rFonts w:ascii="Arial" w:cs="Arial" w:eastAsia="Arial" w:hAnsi="Arial"/>
                <w:sz w:val="17"/>
                <w:szCs w:val="17"/>
                <w:color w:val="0000FF"/>
              </w:rPr>
              <w:t>Executive Employment Agreement effective March 16, 2026 between Karen Fleming and Ross Stores, Inc.</w:t>
            </w:r>
          </w:p>
        </w:tc>
      </w:tr>
      <w:tr>
        <w:trPr>
          <w:trHeight w:val="38"/>
        </w:trPr>
        <w:tc>
          <w:tcPr>
            <w:tcW w:w="1000" w:type="dxa"/>
            <w:vAlign w:val="bottom"/>
            <w:shd w:val="clear" w:color="auto" w:fill="CCEEFF"/>
          </w:tcPr>
          <w:p>
            <w:pPr>
              <w:spacing w:after="0"/>
              <w:rPr>
                <w:sz w:val="3"/>
                <w:szCs w:val="3"/>
                <w:color w:val="auto"/>
              </w:rPr>
            </w:pPr>
          </w:p>
        </w:tc>
        <w:tc>
          <w:tcPr>
            <w:tcW w:w="370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ind w:left="1000" w:hanging="981"/>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FF"/>
        </w:rPr>
        <w:t>Letter re: Unaudited Interim Financial Information from Deloitte &amp; Touche LLP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39305"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9305" cy="13779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31.1</w:t>
            </w: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0000FF"/>
              </w:rPr>
              <w:t>Certification of Chief Executive Officer Pursuant to Sarbanes-Oxley Act Section 302(a).</w:t>
            </w:r>
          </w:p>
        </w:tc>
      </w:tr>
      <w:tr>
        <w:trPr>
          <w:trHeight w:val="217"/>
        </w:trPr>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97"/>
        </w:trPr>
        <w:tc>
          <w:tcPr>
            <w:tcW w:w="8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31.2</w:t>
            </w:r>
          </w:p>
        </w:tc>
        <w:tc>
          <w:tcPr>
            <w:tcW w:w="10380" w:type="dxa"/>
            <w:vAlign w:val="bottom"/>
            <w:gridSpan w:val="6"/>
            <w:shd w:val="clear" w:color="auto" w:fill="CCEEFF"/>
          </w:tcPr>
          <w:p>
            <w:pPr>
              <w:ind w:left="140"/>
              <w:spacing w:after="0" w:line="179" w:lineRule="exact"/>
              <w:rPr>
                <w:sz w:val="20"/>
                <w:szCs w:val="20"/>
                <w:color w:val="auto"/>
              </w:rPr>
            </w:pPr>
            <w:r>
              <w:rPr>
                <w:rFonts w:ascii="Arial" w:cs="Arial" w:eastAsia="Arial" w:hAnsi="Arial"/>
                <w:sz w:val="17"/>
                <w:szCs w:val="17"/>
                <w:color w:val="0000FF"/>
              </w:rPr>
              <w:t>Certification of Chief Financial Officer Pursuant to Sarbanes-Oxley Act Section 302(a).</w:t>
            </w:r>
          </w:p>
        </w:tc>
      </w:tr>
      <w:tr>
        <w:trPr>
          <w:trHeight w:val="217"/>
        </w:trPr>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97"/>
        </w:trPr>
        <w:tc>
          <w:tcPr>
            <w:tcW w:w="8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32.1</w:t>
            </w:r>
          </w:p>
        </w:tc>
        <w:tc>
          <w:tcPr>
            <w:tcW w:w="10380" w:type="dxa"/>
            <w:vAlign w:val="bottom"/>
            <w:gridSpan w:val="6"/>
            <w:shd w:val="clear" w:color="auto" w:fill="CCEEFF"/>
          </w:tcPr>
          <w:p>
            <w:pPr>
              <w:ind w:left="140"/>
              <w:spacing w:after="0" w:line="179" w:lineRule="exact"/>
              <w:rPr>
                <w:sz w:val="20"/>
                <w:szCs w:val="20"/>
                <w:color w:val="auto"/>
              </w:rPr>
            </w:pPr>
            <w:r>
              <w:rPr>
                <w:rFonts w:ascii="Arial" w:cs="Arial" w:eastAsia="Arial" w:hAnsi="Arial"/>
                <w:sz w:val="17"/>
                <w:szCs w:val="17"/>
                <w:color w:val="0000FF"/>
              </w:rPr>
              <w:t>Certification of Chief Executive Officer Pursuant to 18 U.S.C. Section 1350.</w:t>
            </w:r>
          </w:p>
        </w:tc>
      </w:tr>
      <w:tr>
        <w:trPr>
          <w:trHeight w:val="217"/>
        </w:trPr>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97"/>
        </w:trPr>
        <w:tc>
          <w:tcPr>
            <w:tcW w:w="8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32.2</w:t>
            </w:r>
          </w:p>
        </w:tc>
        <w:tc>
          <w:tcPr>
            <w:tcW w:w="10380" w:type="dxa"/>
            <w:vAlign w:val="bottom"/>
            <w:gridSpan w:val="6"/>
            <w:shd w:val="clear" w:color="auto" w:fill="CCEEFF"/>
          </w:tcPr>
          <w:p>
            <w:pPr>
              <w:ind w:left="140"/>
              <w:spacing w:after="0" w:line="179" w:lineRule="exact"/>
              <w:rPr>
                <w:sz w:val="20"/>
                <w:szCs w:val="20"/>
                <w:color w:val="auto"/>
              </w:rPr>
            </w:pPr>
            <w:r>
              <w:rPr>
                <w:rFonts w:ascii="Arial" w:cs="Arial" w:eastAsia="Arial" w:hAnsi="Arial"/>
                <w:sz w:val="17"/>
                <w:szCs w:val="17"/>
                <w:color w:val="0000FF"/>
              </w:rPr>
              <w:t>Certification of Chief Financial Officer Pursuant to 18 U.S.C. Section 1350.</w:t>
            </w:r>
          </w:p>
        </w:tc>
      </w:tr>
      <w:tr>
        <w:trPr>
          <w:trHeight w:val="217"/>
        </w:trPr>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66"/>
        </w:trPr>
        <w:tc>
          <w:tcPr>
            <w:tcW w:w="8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101.INS</w:t>
            </w:r>
          </w:p>
        </w:tc>
        <w:tc>
          <w:tcPr>
            <w:tcW w:w="10380" w:type="dxa"/>
            <w:vAlign w:val="bottom"/>
            <w:gridSpan w:val="6"/>
            <w:shd w:val="clear" w:color="auto" w:fill="CCEEFF"/>
          </w:tcPr>
          <w:p>
            <w:pPr>
              <w:ind w:left="140"/>
              <w:spacing w:after="0" w:line="167" w:lineRule="exact"/>
              <w:rPr>
                <w:sz w:val="20"/>
                <w:szCs w:val="20"/>
                <w:color w:val="auto"/>
              </w:rPr>
            </w:pPr>
            <w:r>
              <w:rPr>
                <w:rFonts w:ascii="Arial" w:cs="Arial" w:eastAsia="Arial" w:hAnsi="Arial"/>
                <w:sz w:val="17"/>
                <w:szCs w:val="17"/>
                <w:color w:val="auto"/>
              </w:rPr>
              <w:t>XBRL Instance Document. (The instance document does not appear in the Interactive Data File because its XBRL tags are embedded</w:t>
            </w:r>
          </w:p>
        </w:tc>
      </w:tr>
      <w:tr>
        <w:trPr>
          <w:trHeight w:val="230"/>
        </w:trPr>
        <w:tc>
          <w:tcPr>
            <w:tcW w:w="860" w:type="dxa"/>
            <w:vAlign w:val="bottom"/>
            <w:shd w:val="clear" w:color="auto" w:fill="CCEEFF"/>
          </w:tcPr>
          <w:p>
            <w:pPr>
              <w:spacing w:after="0"/>
              <w:rPr>
                <w:sz w:val="20"/>
                <w:szCs w:val="20"/>
                <w:color w:val="auto"/>
              </w:rPr>
            </w:pP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auto"/>
              </w:rPr>
              <w:t>within the Inline XBRL document.)</w:t>
            </w:r>
          </w:p>
        </w:tc>
      </w:tr>
      <w:tr>
        <w:trPr>
          <w:trHeight w:val="243"/>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17"/>
        </w:trPr>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auto"/>
              </w:rPr>
              <w:t>Inline XBRL Taxonomy Extension Schema</w:t>
            </w:r>
          </w:p>
        </w:tc>
      </w:tr>
      <w:tr>
        <w:trPr>
          <w:trHeight w:val="217"/>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7"/>
        </w:trPr>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auto"/>
              </w:rPr>
              <w:t>Inline XBRL Taxonomy Extension Calculation Linkbase</w:t>
            </w:r>
          </w:p>
        </w:tc>
      </w:tr>
      <w:tr>
        <w:trPr>
          <w:trHeight w:val="217"/>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7"/>
        </w:trPr>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auto"/>
              </w:rPr>
              <w:t>Inline XBRL Taxonomy Extension Definition Linkbase</w:t>
            </w:r>
          </w:p>
        </w:tc>
      </w:tr>
      <w:tr>
        <w:trPr>
          <w:trHeight w:val="217"/>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7"/>
        </w:trPr>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auto"/>
              </w:rPr>
              <w:t>Inline XBRL Taxonomy Extension Label Linkbase</w:t>
            </w:r>
          </w:p>
        </w:tc>
      </w:tr>
      <w:tr>
        <w:trPr>
          <w:trHeight w:val="217"/>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7"/>
        </w:trPr>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10380" w:type="dxa"/>
            <w:vAlign w:val="bottom"/>
            <w:gridSpan w:val="6"/>
            <w:shd w:val="clear" w:color="auto" w:fill="CCEEFF"/>
          </w:tcPr>
          <w:p>
            <w:pPr>
              <w:ind w:left="140"/>
              <w:spacing w:after="0"/>
              <w:rPr>
                <w:sz w:val="20"/>
                <w:szCs w:val="20"/>
                <w:color w:val="auto"/>
              </w:rPr>
            </w:pPr>
            <w:r>
              <w:rPr>
                <w:rFonts w:ascii="Arial" w:cs="Arial" w:eastAsia="Arial" w:hAnsi="Arial"/>
                <w:sz w:val="17"/>
                <w:szCs w:val="17"/>
                <w:color w:val="auto"/>
              </w:rPr>
              <w:t>Inline XBRL Taxonomy Extension Presentation Linkbase</w:t>
            </w:r>
          </w:p>
        </w:tc>
      </w:tr>
    </w:tbl>
    <w:p>
      <w:pPr>
        <w:spacing w:after="0" w:line="239" w:lineRule="exact"/>
        <w:rPr>
          <w:sz w:val="20"/>
          <w:szCs w:val="20"/>
          <w:color w:val="auto"/>
        </w:rPr>
      </w:pPr>
    </w:p>
    <w:p>
      <w:pPr>
        <w:ind w:left="1000" w:right="280" w:hanging="981"/>
        <w:spacing w:after="0" w:line="239"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Cover Page Interactive Data File.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139305" cy="252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9305" cy="25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SIGNATURE</w:t>
      </w:r>
    </w:p>
    <w:p>
      <w:pPr>
        <w:spacing w:after="0" w:line="2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16510</wp:posOffset>
            </wp:positionV>
            <wp:extent cx="35979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597910" cy="8255"/>
                    </a:xfrm>
                    <a:prstGeom prst="rect">
                      <a:avLst/>
                    </a:prstGeom>
                    <a:noFill/>
                  </pic:spPr>
                </pic:pic>
              </a:graphicData>
            </a:graphic>
          </wp:anchor>
        </w:drawing>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600" w:val="left"/>
          <w:tab w:leader="none" w:pos="5020" w:val="left"/>
          <w:tab w:leader="none" w:pos="5480" w:val="left"/>
        </w:tabs>
        <w:rPr>
          <w:sz w:val="20"/>
          <w:szCs w:val="20"/>
          <w:color w:val="auto"/>
        </w:rPr>
      </w:pPr>
      <w:r>
        <w:rPr>
          <w:rFonts w:ascii="Arial" w:cs="Arial" w:eastAsia="Arial" w:hAnsi="Arial"/>
          <w:sz w:val="17"/>
          <w:szCs w:val="17"/>
          <w:color w:val="auto"/>
        </w:rPr>
        <w:t>Date:</w:t>
        <w:tab/>
        <w:t>June 2,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Jeffrey P. Burrill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16510</wp:posOffset>
            </wp:positionV>
            <wp:extent cx="3314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314065" cy="8255"/>
                    </a:xfrm>
                    <a:prstGeom prst="rect">
                      <a:avLst/>
                    </a:prstGeom>
                    <a:noFill/>
                  </pic:spPr>
                </pic:pic>
              </a:graphicData>
            </a:graphic>
          </wp:anchor>
        </w:drawing>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Jeffrey P. Burrill</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Group Senior Vice President, Chief Accounting Officer and</w:t>
      </w:r>
    </w:p>
    <w:p>
      <w:pPr>
        <w:ind w:left="5500"/>
        <w:spacing w:after="0"/>
        <w:rPr>
          <w:sz w:val="20"/>
          <w:szCs w:val="20"/>
          <w:color w:val="auto"/>
        </w:rPr>
      </w:pPr>
      <w:r>
        <w:rPr>
          <w:rFonts w:ascii="Arial" w:cs="Arial" w:eastAsia="Arial" w:hAnsi="Arial"/>
          <w:sz w:val="17"/>
          <w:szCs w:val="17"/>
          <w:color w:val="auto"/>
        </w:rPr>
        <w:t>Corporate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89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effective _</w:t>
      </w:r>
      <w:r>
        <w:rPr>
          <w:rFonts w:ascii="Times New Roman" w:cs="Times New Roman" w:eastAsia="Times New Roman" w:hAnsi="Times New Roman"/>
          <w:sz w:val="20"/>
          <w:szCs w:val="20"/>
          <w:b w:val="1"/>
          <w:bCs w:val="1"/>
          <w:color w:val="auto"/>
        </w:rPr>
        <w:t xml:space="preserve">_________, 2026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by and between Ross Stores, Inc., a Delaware corporation, and </w:t>
      </w:r>
      <w:r>
        <w:rPr>
          <w:rFonts w:ascii="Times New Roman" w:cs="Times New Roman" w:eastAsia="Times New Roman" w:hAnsi="Times New Roman"/>
          <w:sz w:val="19"/>
          <w:szCs w:val="19"/>
          <w:b w:val="1"/>
          <w:bCs w:val="1"/>
          <w:color w:val="auto"/>
        </w:rPr>
        <w:t>____________</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References herein to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mean Ross Stores, Inc. and, where appropriate, Ross Stores, Inc. and each and any of its divisions, affiliates or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9" w:lineRule="exact"/>
        <w:rPr>
          <w:sz w:val="20"/>
          <w:szCs w:val="20"/>
          <w:color w:val="auto"/>
        </w:rPr>
      </w:pPr>
    </w:p>
    <w:p>
      <w:pPr>
        <w:ind w:left="1220" w:hanging="604"/>
        <w:spacing w:after="0"/>
        <w:tabs>
          <w:tab w:leader="none" w:pos="12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wishes  to  employ  the  Executive,  and  the  Executive  is  willing  to  accept  such  employment,  as</w:t>
      </w:r>
    </w:p>
    <w:p>
      <w:pPr>
        <w:spacing w:after="0" w:line="2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______________________</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firstLine="616"/>
        <w:spacing w:after="0" w:line="268" w:lineRule="auto"/>
        <w:tabs>
          <w:tab w:leader="none" w:pos="121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consideration for the promises of the parties set forth below, the Company and the Executive hereby agree as follows:</w:t>
      </w:r>
    </w:p>
    <w:p>
      <w:pPr>
        <w:spacing w:after="0" w:line="201" w:lineRule="exact"/>
        <w:rPr>
          <w:sz w:val="20"/>
          <w:szCs w:val="20"/>
          <w:color w:val="auto"/>
        </w:rPr>
      </w:pPr>
    </w:p>
    <w:p>
      <w:pPr>
        <w:ind w:firstLine="616"/>
        <w:spacing w:after="0" w:line="285" w:lineRule="auto"/>
        <w:tabs>
          <w:tab w:leader="none" w:pos="122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 the provisions of Section 6 of this Agreement, the term of employment of the Executive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shall be as follows:</w:t>
      </w:r>
    </w:p>
    <w:p>
      <w:pPr>
        <w:spacing w:after="0" w:line="131"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initial term of employment of the Executive by the Company under this Agreement shall begin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Effective Date and end on </w:t>
      </w:r>
      <w:r>
        <w:rPr>
          <w:rFonts w:ascii="Times New Roman" w:cs="Times New Roman" w:eastAsia="Times New Roman" w:hAnsi="Times New Roman"/>
          <w:sz w:val="20"/>
          <w:szCs w:val="20"/>
          <w:b w:val="1"/>
          <w:bCs w:val="1"/>
          <w:color w:val="auto"/>
        </w:rPr>
        <w:t>March 31, 2030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unless extended or terminated earlier in accordance with this Agreement. The Initial Term plus any Extension (as defined in Section 1(c) hereof) thereof shall be the “</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Extension Intent Notice. </w:t>
      </w:r>
      <w:r>
        <w:rPr>
          <w:rFonts w:ascii="Times New Roman" w:cs="Times New Roman" w:eastAsia="Times New Roman" w:hAnsi="Times New Roman"/>
          <w:sz w:val="20"/>
          <w:szCs w:val="20"/>
          <w:color w:val="auto"/>
        </w:rPr>
        <w:t>By December 31, 2027, the Executive shall advise the Chief Executive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(“CEO”) or the CEO’s designee whether the Executive would like the Term of Employment extended. If the Executive does not timely notify the Company of Executive’s desire to extend (or not to extend) the Term of Employment, then such action shall be deemed to result in the Executive’s Voluntary Termination as of the Term of Employment end date unless the Company determines otherwise in its sole and absolute discretion.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67" w:lineRule="auto"/>
        <w:tabs>
          <w:tab w:leader="none" w:pos="1842"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New Agreement. </w:t>
      </w:r>
      <w:r>
        <w:rPr>
          <w:rFonts w:ascii="Times New Roman" w:cs="Times New Roman" w:eastAsia="Times New Roman" w:hAnsi="Times New Roman"/>
          <w:sz w:val="19"/>
          <w:szCs w:val="19"/>
          <w:color w:val="auto"/>
        </w:rPr>
        <w:t>Provided that, in accordance with Section 1(b) hereof, the Executive has timely notified the CEO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CEO’s designee of the Executive’s desire to extend the Executive’s employment, the Company will consider whether to offer the Executive an extension under this Agreement or a new Employment Agreement. If the Company decides in its sole and absolute discretion to offer the Executive an extension or a new Employment Agreement, the Company will notify the Executive accordingly (an "</w:t>
      </w:r>
      <w:r>
        <w:rPr>
          <w:rFonts w:ascii="Times New Roman" w:cs="Times New Roman" w:eastAsia="Times New Roman" w:hAnsi="Times New Roman"/>
          <w:sz w:val="19"/>
          <w:szCs w:val="19"/>
          <w:u w:val="single" w:color="auto"/>
          <w:color w:val="auto"/>
        </w:rPr>
        <w:t>Extension Notice</w:t>
      </w:r>
      <w:r>
        <w:rPr>
          <w:rFonts w:ascii="Times New Roman" w:cs="Times New Roman" w:eastAsia="Times New Roman" w:hAnsi="Times New Roman"/>
          <w:sz w:val="19"/>
          <w:szCs w:val="19"/>
          <w:color w:val="auto"/>
        </w:rPr>
        <w:t>") not less than one hundred eighty (180) days prior to the expiration of the Term of Employment. If the Company timely provides an Extension Notice and the Executive and the Company enter into such extension (or a new Employment Agreement), the Initial Term hereof will be extended by such additional period of time set forth in the Extension Notice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If the Company timely provides an</w:t>
      </w:r>
    </w:p>
    <w:p>
      <w:pPr>
        <w:sectPr>
          <w:pgSz w:w="11900" w:h="16838" w:orient="portrait"/>
          <w:cols w:equalWidth="0" w:num="1">
            <w:col w:w="11240"/>
          </w:cols>
          <w:pgMar w:left="320" w:top="1346"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20"/>
          <w:szCs w:val="20"/>
          <w:color w:val="auto"/>
        </w:rPr>
        <w:t>Extension Notice and offers the Executive an extension or a new Employment Agreement providing at least comparable terms to the Executive’s then current Employment Agreement but the Executive does not agree to enter into such extension or new Employment Agreement, such action shall be deemed to result in Executive’s Voluntary Termination as of the Term of Employment end date unless the Company determines otherwise in its sole and absolute discretion.</w:t>
      </w:r>
    </w:p>
    <w:p>
      <w:pPr>
        <w:spacing w:after="0" w:line="174" w:lineRule="exact"/>
        <w:rPr>
          <w:sz w:val="20"/>
          <w:szCs w:val="20"/>
          <w:color w:val="auto"/>
        </w:rPr>
      </w:pPr>
    </w:p>
    <w:p>
      <w:pPr>
        <w:jc w:val="both"/>
        <w:ind w:firstLine="616"/>
        <w:spacing w:after="0" w:line="251" w:lineRule="auto"/>
        <w:tabs>
          <w:tab w:leader="none" w:pos="122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Position and Duties. </w:t>
      </w:r>
      <w:r>
        <w:rPr>
          <w:rFonts w:ascii="Times New Roman" w:cs="Times New Roman" w:eastAsia="Times New Roman" w:hAnsi="Times New Roman"/>
          <w:sz w:val="20"/>
          <w:szCs w:val="20"/>
          <w:color w:val="auto"/>
        </w:rPr>
        <w:t>During the Term of Employment, the Executive shall serve as</w:t>
      </w:r>
      <w:r>
        <w:rPr>
          <w:rFonts w:ascii="Times New Roman" w:cs="Times New Roman" w:eastAsia="Times New Roman" w:hAnsi="Times New Roman"/>
          <w:sz w:val="20"/>
          <w:szCs w:val="20"/>
          <w:b w:val="1"/>
          <w:bCs w:val="1"/>
          <w:color w:val="auto"/>
        </w:rPr>
        <w:t xml:space="preserve"> ___________________________</w:t>
      </w:r>
      <w:r>
        <w:rPr>
          <w:rFonts w:ascii="Times New Roman" w:cs="Times New Roman" w:eastAsia="Times New Roman" w:hAnsi="Times New Roman"/>
          <w:sz w:val="20"/>
          <w:szCs w:val="20"/>
          <w:color w:val="auto"/>
        </w:rPr>
        <w:t>.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of Employment, the Executive may engage in outside activities provided (i) such activities (including but not limited to membership on boards of directors of not-for-profit and for-profit organizations) do not conflict with the Executive’s duties and responsibilities hereunder and (ii) the Executive obtains written approval from the CEO of any significant outside business activity in which the Executive plans to become involved, whether or not such activity is pursued for profit.</w:t>
      </w:r>
    </w:p>
    <w:p>
      <w:pPr>
        <w:spacing w:after="0" w:line="178" w:lineRule="exact"/>
        <w:rPr>
          <w:rFonts w:ascii="Times New Roman" w:cs="Times New Roman" w:eastAsia="Times New Roman" w:hAnsi="Times New Roman"/>
          <w:sz w:val="20"/>
          <w:szCs w:val="20"/>
          <w:color w:val="auto"/>
        </w:rPr>
      </w:pPr>
    </w:p>
    <w:p>
      <w:pPr>
        <w:jc w:val="both"/>
        <w:ind w:firstLine="616"/>
        <w:spacing w:after="0" w:line="256" w:lineRule="auto"/>
        <w:tabs>
          <w:tab w:leader="none" w:pos="122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Principal Place of Employment. </w:t>
      </w:r>
      <w:r>
        <w:rPr>
          <w:rFonts w:ascii="Times New Roman" w:cs="Times New Roman" w:eastAsia="Times New Roman" w:hAnsi="Times New Roman"/>
          <w:sz w:val="20"/>
          <w:szCs w:val="20"/>
          <w:color w:val="auto"/>
        </w:rPr>
        <w:t>The Executive shall be employed at the Company’s offices in</w:t>
      </w:r>
      <w:r>
        <w:rPr>
          <w:rFonts w:ascii="Times New Roman" w:cs="Times New Roman" w:eastAsia="Times New Roman" w:hAnsi="Times New Roman"/>
          <w:sz w:val="20"/>
          <w:szCs w:val="20"/>
          <w:b w:val="1"/>
          <w:bCs w:val="1"/>
          <w:color w:val="auto"/>
        </w:rPr>
        <w:t xml:space="preserve"> Dublin, CA</w:t>
      </w:r>
      <w:r>
        <w:rPr>
          <w:rFonts w:ascii="Times New Roman" w:cs="Times New Roman" w:eastAsia="Times New Roman" w:hAnsi="Times New Roman"/>
          <w:sz w:val="20"/>
          <w:szCs w:val="20"/>
          <w:color w:val="auto"/>
        </w:rPr>
        <w:t>,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travel on the Company’s business to an extent substantially consistent with present business travel obligations of the Executive’s position.</w:t>
      </w:r>
    </w:p>
    <w:p>
      <w:pPr>
        <w:spacing w:after="0" w:line="172"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Related Matters.</w:t>
      </w:r>
    </w:p>
    <w:p>
      <w:pPr>
        <w:spacing w:after="0" w:line="20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During the Term of Employment, the Company shall pay to the Executive a salary at a rate of not less than</w:t>
      </w:r>
    </w:p>
    <w:p>
      <w:pPr>
        <w:spacing w:after="0" w:line="26" w:lineRule="exact"/>
        <w:rPr>
          <w:rFonts w:ascii="Times New Roman" w:cs="Times New Roman" w:eastAsia="Times New Roman" w:hAnsi="Times New Roman"/>
          <w:sz w:val="20"/>
          <w:szCs w:val="20"/>
          <w:color w:val="auto"/>
        </w:rPr>
      </w:pPr>
    </w:p>
    <w:p>
      <w:pPr>
        <w:jc w:val="both"/>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________________ ($_________) </w:t>
      </w:r>
      <w:r>
        <w:rPr>
          <w:rFonts w:ascii="Times New Roman" w:cs="Times New Roman" w:eastAsia="Times New Roman" w:hAnsi="Times New Roman"/>
          <w:sz w:val="20"/>
          <w:szCs w:val="20"/>
          <w:color w:val="auto"/>
        </w:rPr>
        <w:t>per annum. The Executive’s salary shall be payable in substantially equal installments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normal payroll practices applicable to senior executives. Subject to the first sentence of this Section 4(a), the Executive’s salary may be adjusted from time to time in accordance with normal business practices of the Company.</w:t>
      </w:r>
    </w:p>
    <w:p>
      <w:pPr>
        <w:spacing w:after="0" w:line="179" w:lineRule="exact"/>
        <w:rPr>
          <w:rFonts w:ascii="Times New Roman" w:cs="Times New Roman" w:eastAsia="Times New Roman" w:hAnsi="Times New Roman"/>
          <w:sz w:val="20"/>
          <w:szCs w:val="20"/>
          <w:color w:val="auto"/>
        </w:rPr>
      </w:pPr>
    </w:p>
    <w:p>
      <w:pPr>
        <w:jc w:val="both"/>
        <w:ind w:firstLine="1230"/>
        <w:spacing w:after="0" w:line="248" w:lineRule="auto"/>
        <w:tabs>
          <w:tab w:leader="none" w:pos="18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During the Term of Employment, the Executive shall be eligible to receive an annual bonus paid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w:t>
      </w:r>
      <w:r>
        <w:rPr>
          <w:rFonts w:ascii="Times New Roman" w:cs="Times New Roman" w:eastAsia="Times New Roman" w:hAnsi="Times New Roman"/>
          <w:sz w:val="20"/>
          <w:szCs w:val="20"/>
          <w:b w:val="1"/>
          <w:bCs w:val="1"/>
          <w:color w:val="auto"/>
        </w:rPr>
        <w:t>__%</w:t>
      </w:r>
      <w:r>
        <w:rPr>
          <w:rFonts w:ascii="Times New Roman" w:cs="Times New Roman" w:eastAsia="Times New Roman" w:hAnsi="Times New Roman"/>
          <w:sz w:val="20"/>
          <w:szCs w:val="20"/>
          <w:color w:val="auto"/>
        </w:rPr>
        <w:t xml:space="preserve"> of the Executive’s then effective annual salary rate.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183"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During the Term of Employment, the Executive shall be entitled to receive prompt reimbursement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60"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Benefits. </w:t>
      </w:r>
      <w:r>
        <w:rPr>
          <w:rFonts w:ascii="Times New Roman" w:cs="Times New Roman" w:eastAsia="Times New Roman" w:hAnsi="Times New Roman"/>
          <w:sz w:val="20"/>
          <w:szCs w:val="20"/>
          <w:color w:val="auto"/>
        </w:rPr>
        <w:t>During the Term of Employment, the Executive shall be entitled to participate in all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plans and arrangements in which senior executives of the Company are eligible to participate. The Company shall not make any changes in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50" w:right="339" w:bottom="1440" w:gutter="0" w:footer="0" w:header="0"/>
        </w:sectPr>
      </w:pPr>
    </w:p>
    <w:bookmarkStart w:id="30" w:name="page31"/>
    <w:bookmarkEnd w:id="30"/>
    <w:p>
      <w:pPr>
        <w:jc w:val="both"/>
        <w:spacing w:after="0" w:line="249" w:lineRule="auto"/>
        <w:rPr>
          <w:sz w:val="20"/>
          <w:szCs w:val="20"/>
          <w:color w:val="auto"/>
        </w:rPr>
      </w:pPr>
      <w:r>
        <w:rPr>
          <w:rFonts w:ascii="Times New Roman" w:cs="Times New Roman" w:eastAsia="Times New Roman" w:hAnsi="Times New Roman"/>
          <w:sz w:val="20"/>
          <w:szCs w:val="20"/>
          <w:color w:val="auto"/>
        </w:rPr>
        <w:t>such plans or arrangements which would adversely affect the Executive’s rights or benefits 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80" w:lineRule="exact"/>
        <w:rPr>
          <w:sz w:val="20"/>
          <w:szCs w:val="20"/>
          <w:color w:val="auto"/>
        </w:rPr>
      </w:pPr>
    </w:p>
    <w:p>
      <w:pPr>
        <w:jc w:val="both"/>
        <w:ind w:firstLine="1230"/>
        <w:spacing w:after="0" w:line="251" w:lineRule="auto"/>
        <w:tabs>
          <w:tab w:leader="none" w:pos="184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Vacations. </w:t>
      </w:r>
      <w:r>
        <w:rPr>
          <w:rFonts w:ascii="Times New Roman" w:cs="Times New Roman" w:eastAsia="Times New Roman" w:hAnsi="Times New Roman"/>
          <w:sz w:val="20"/>
          <w:szCs w:val="20"/>
          <w:color w:val="auto"/>
        </w:rPr>
        <w:t>During the Term of Employment, the Executive shall be entitled to</w:t>
      </w:r>
      <w:r>
        <w:rPr>
          <w:rFonts w:ascii="Times New Roman" w:cs="Times New Roman" w:eastAsia="Times New Roman" w:hAnsi="Times New Roman"/>
          <w:sz w:val="20"/>
          <w:szCs w:val="20"/>
          <w:b w:val="1"/>
          <w:bCs w:val="1"/>
          <w:color w:val="auto"/>
        </w:rPr>
        <w:t xml:space="preserve"> __________ </w:t>
      </w:r>
      <w:r>
        <w:rPr>
          <w:rFonts w:ascii="Times New Roman" w:cs="Times New Roman" w:eastAsia="Times New Roman" w:hAnsi="Times New Roman"/>
          <w:sz w:val="20"/>
          <w:szCs w:val="20"/>
          <w:color w:val="auto"/>
        </w:rPr>
        <w:t>vacation days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178" w:lineRule="exact"/>
        <w:rPr>
          <w:rFonts w:ascii="Times New Roman" w:cs="Times New Roman" w:eastAsia="Times New Roman" w:hAnsi="Times New Roman"/>
          <w:sz w:val="20"/>
          <w:szCs w:val="20"/>
          <w:color w:val="auto"/>
        </w:rPr>
      </w:pPr>
    </w:p>
    <w:p>
      <w:pPr>
        <w:ind w:firstLine="1230"/>
        <w:spacing w:after="0" w:line="272" w:lineRule="auto"/>
        <w:tabs>
          <w:tab w:leader="none" w:pos="183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Furnished. </w:t>
      </w:r>
      <w:r>
        <w:rPr>
          <w:rFonts w:ascii="Times New Roman" w:cs="Times New Roman" w:eastAsia="Times New Roman" w:hAnsi="Times New Roman"/>
          <w:sz w:val="20"/>
          <w:szCs w:val="20"/>
          <w:color w:val="auto"/>
        </w:rPr>
        <w:t>The Company shall furnish the Executive with office space and such services as are suitable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Executive’s position and adequate for the performance of the Executive’s duties during the Term of Employment.</w:t>
      </w:r>
    </w:p>
    <w:p>
      <w:pPr>
        <w:spacing w:after="0" w:line="143"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 Information and Intellectual Property.</w:t>
      </w:r>
    </w:p>
    <w:p>
      <w:pPr>
        <w:spacing w:after="0" w:line="221" w:lineRule="exact"/>
        <w:rPr>
          <w:rFonts w:ascii="Times New Roman" w:cs="Times New Roman" w:eastAsia="Times New Roman" w:hAnsi="Times New Roman"/>
          <w:sz w:val="20"/>
          <w:szCs w:val="20"/>
          <w:color w:val="auto"/>
        </w:rPr>
      </w:pPr>
    </w:p>
    <w:p>
      <w:pPr>
        <w:ind w:firstLine="1230"/>
        <w:spacing w:after="0" w:line="268" w:lineRule="auto"/>
        <w:tabs>
          <w:tab w:leader="none" w:pos="184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intended to supplement, and not to supersede, any rights the Company may have in law or equity with respect to the protection of trade secrets or confidential or proprietary information.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164"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any non-public written or unwritten information which relates to and/or is used by the Company or its subsidiaries, affiliates or divisions, including, without limitation: (i) the Company’s compilation of the buying habits and other proprietary information regarding past, present and potential customers, employees and suppliers of the Company as developed by or specifically for the Company (including, but not limited to, under the direction of the Executive while employed by the Company) and not generally known to the public; (ii) customer and supplier contracts and transactions or price lists of the Company and suppliers; (iii) the Company’s methods of distribution; (iv) all Company agreements, files, books, logs, charts, records, studies, reports, processes, schedules and statistical information that are specific to the Company’s business and/or strategy; (v) data, figures, projections, estimates, pricing data, customer lists (as described in this section) , buying manuals or procedures, distribution manuals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50"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0"/>
          <w:szCs w:val="20"/>
          <w:color w:val="auto"/>
        </w:rPr>
        <w:t>procedures, and other policy and procedure manuals or handbooks; (vi) supplier information that the Company has devoted significant resources to develop and determine, tax records, personnel histories and records, sales information and property information; (vii) information regarding the present or future phases of the Company’s business; (viii) inventions, trademarks and the Company’s non-public business information processes, techniques, improvements, designs, redesigns, creations, discoveries, trade secrets, and developments; (ix) all computer software licensed or developed by the Company or its subsidiaries, affiliates or divisions, computer programs, computer-based and web-based training programs, and systems; and (x) the Company’s finances and financial information. However, Confidential Information will not include information of the Company or its subsidiaries, affiliates or divisions that (1) became or becomes a matter of public knowledge through sources independent of the Executive or (2) has been or is disclosed by the Company or its subsidiaries, affiliates or divisions without restriction on its use. To the extent that the executive is required or permitted by law or governmental order or regulation to disclose Confidential Information, the Executive shall provide prompt written notice of any such order to the Company’s CEO or CEO’s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Company’s CEO confirms to the Executive that the information is public knowledge.</w:t>
      </w:r>
    </w:p>
    <w:p>
      <w:pPr>
        <w:spacing w:after="0" w:line="178" w:lineRule="exact"/>
        <w:rPr>
          <w:sz w:val="20"/>
          <w:szCs w:val="20"/>
          <w:color w:val="auto"/>
        </w:rPr>
      </w:pPr>
    </w:p>
    <w:p>
      <w:pPr>
        <w:jc w:val="both"/>
        <w:ind w:firstLine="1230"/>
        <w:spacing w:after="0" w:line="260" w:lineRule="auto"/>
        <w:tabs>
          <w:tab w:leader="none" w:pos="18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5 shall not preclude the Executive from disclosing such information to the Executive's professional tax advisor or legal counsel solely to the extent necessary to the rendering of their professional services to the Executive if such individuals agree to keep such information confidential.</w:t>
      </w:r>
    </w:p>
    <w:p>
      <w:pPr>
        <w:spacing w:after="0" w:line="173" w:lineRule="exact"/>
        <w:rPr>
          <w:rFonts w:ascii="Times New Roman" w:cs="Times New Roman" w:eastAsia="Times New Roman" w:hAnsi="Times New Roman"/>
          <w:sz w:val="20"/>
          <w:szCs w:val="20"/>
          <w:color w:val="auto"/>
        </w:rPr>
      </w:pPr>
    </w:p>
    <w:p>
      <w:pPr>
        <w:jc w:val="both"/>
        <w:ind w:firstLine="1230"/>
        <w:spacing w:after="0" w:line="248" w:lineRule="auto"/>
        <w:tabs>
          <w:tab w:leader="none" w:pos="184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3"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3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60" w:lineRule="exact"/>
        <w:rPr>
          <w:rFonts w:ascii="Times New Roman" w:cs="Times New Roman" w:eastAsia="Times New Roman" w:hAnsi="Times New Roman"/>
          <w:sz w:val="20"/>
          <w:szCs w:val="20"/>
          <w:color w:val="auto"/>
        </w:rPr>
      </w:pPr>
    </w:p>
    <w:p>
      <w:pPr>
        <w:jc w:val="both"/>
        <w:ind w:firstLine="1230"/>
        <w:spacing w:after="0" w:line="253" w:lineRule="auto"/>
        <w:tabs>
          <w:tab w:leader="none" w:pos="18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 Information) as a result of employment with the Company. The Executive further agrees to notify the CEO or the CEO’s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5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designee immediately after being contacted by any member of the media with respect to any matter affected by this section.</w:t>
      </w:r>
    </w:p>
    <w:p>
      <w:pPr>
        <w:spacing w:after="0" w:line="205" w:lineRule="exact"/>
        <w:rPr>
          <w:sz w:val="20"/>
          <w:szCs w:val="20"/>
          <w:color w:val="auto"/>
        </w:rPr>
      </w:pPr>
    </w:p>
    <w:p>
      <w:pPr>
        <w:jc w:val="both"/>
        <w:ind w:firstLine="1230"/>
        <w:spacing w:after="0" w:line="261" w:lineRule="auto"/>
        <w:tabs>
          <w:tab w:leader="none" w:pos="18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the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 deliver any such documents on the Executive’s behalf in the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169" w:lineRule="exact"/>
        <w:rPr>
          <w:rFonts w:ascii="Times New Roman" w:cs="Times New Roman" w:eastAsia="Times New Roman" w:hAnsi="Times New Roman"/>
          <w:sz w:val="19"/>
          <w:szCs w:val="19"/>
          <w:color w:val="auto"/>
        </w:rPr>
      </w:pPr>
    </w:p>
    <w:p>
      <w:pPr>
        <w:jc w:val="both"/>
        <w:ind w:firstLine="1230"/>
        <w:spacing w:after="0" w:line="251" w:lineRule="auto"/>
        <w:tabs>
          <w:tab w:leader="none" w:pos="183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represents and warrants that, as of the Effective Date, there is no Intellectual Property that: (i) has been created by or on behalf of the Executive, and/or (ii) is owned exclusively by the Executive or jointly by the Executive with others or in which the Executive has an interest, and that relate in any way to any of the Company’s actual or proposed businesses, products, services, or research and development, and which are not assigned to the Company hereunder. The Executive understands further that the Intellectual Property will not include, and the provisions of this Agreement requiring assignment of inventions to the Company do not apply to, any invention that qualifies fully for exclusion under the provisions of Section 2870 of the California Labor Code.</w:t>
      </w:r>
    </w:p>
    <w:p>
      <w:pPr>
        <w:spacing w:after="0" w:line="168"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3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73"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Executive’s employment, or at any time upon request of the Company, the Executive will (i) promptly return to the Company all Confidential Information and Intellectual Property, in any form, including but not limited to letters, memoranda, reports, notes, notebooks, books of account, drawings, prints, specifications, formulae, data printouts, microfilms,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50" w:right="339" w:bottom="1440" w:gutter="0" w:footer="0" w:header="0"/>
        </w:sectPr>
      </w:pPr>
    </w:p>
    <w:bookmarkStart w:id="33" w:name="page34"/>
    <w:bookmarkEnd w:id="33"/>
    <w:p>
      <w:pPr>
        <w:jc w:val="both"/>
        <w:spacing w:after="0" w:line="260" w:lineRule="auto"/>
        <w:rPr>
          <w:sz w:val="20"/>
          <w:szCs w:val="20"/>
          <w:color w:val="auto"/>
        </w:rPr>
      </w:pPr>
      <w:r>
        <w:rPr>
          <w:rFonts w:ascii="Times New Roman" w:cs="Times New Roman" w:eastAsia="Times New Roman" w:hAnsi="Times New Roman"/>
          <w:sz w:val="20"/>
          <w:szCs w:val="20"/>
          <w:color w:val="auto"/>
        </w:rPr>
        <w:t>magnetic tapes, disks, recordings, documents, and all copies thereof,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161" w:lineRule="exact"/>
        <w:rPr>
          <w:sz w:val="20"/>
          <w:szCs w:val="20"/>
          <w:color w:val="auto"/>
        </w:rPr>
      </w:pPr>
    </w:p>
    <w:p>
      <w:pPr>
        <w:ind w:firstLine="616"/>
        <w:spacing w:after="0" w:line="281" w:lineRule="auto"/>
        <w:tabs>
          <w:tab w:leader="none" w:pos="86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shall limit the Executive’s right to disclose sexual harassment, sexual assault dispute, unlawful acts in the workplace, or restrict or impede the Executive from exercising protected rights as afforded by applicable law.</w:t>
      </w:r>
    </w:p>
    <w:p>
      <w:pPr>
        <w:spacing w:after="0" w:line="135" w:lineRule="exact"/>
        <w:rPr>
          <w:sz w:val="20"/>
          <w:szCs w:val="20"/>
          <w:color w:val="auto"/>
        </w:rPr>
      </w:pPr>
    </w:p>
    <w:p>
      <w:pPr>
        <w:ind w:left="1220" w:hanging="604"/>
        <w:spacing w:after="0"/>
        <w:tabs>
          <w:tab w:leader="none" w:pos="122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Executive’s employment may be terminated during the Term of Employment only as follows:</w:t>
      </w:r>
    </w:p>
    <w:p>
      <w:pPr>
        <w:spacing w:after="0" w:line="20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The Executive’s employment shall terminate upon the Executive’s death.</w:t>
      </w:r>
    </w:p>
    <w:p>
      <w:pPr>
        <w:spacing w:after="0" w:line="217"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If, as a result of the Executive’s Disability (as defined below), the Executive shall have been absent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in accordance with Section 7(b)(ii). For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same meaning as ascribed to such term under the Company's long-term disability plan in which the Executive is participating; provided that in the absence of such plan (or the absence of the Executive's participation in such plan), Disability shall mean the Executive’s inability to substantially perform the Executive’s duties hereunder due to a medically determinable physical or mental impairment which has lasted for a period of not less than one hundred twenty (120) consecutive days.</w:t>
      </w:r>
    </w:p>
    <w:p>
      <w:pPr>
        <w:spacing w:after="0" w:line="167" w:lineRule="exact"/>
        <w:rPr>
          <w:rFonts w:ascii="Times New Roman" w:cs="Times New Roman" w:eastAsia="Times New Roman" w:hAnsi="Times New Roman"/>
          <w:sz w:val="20"/>
          <w:szCs w:val="20"/>
          <w:color w:val="auto"/>
        </w:rPr>
      </w:pPr>
    </w:p>
    <w:p>
      <w:pPr>
        <w:jc w:val="both"/>
        <w:ind w:firstLine="1230"/>
        <w:spacing w:after="0" w:line="261" w:lineRule="auto"/>
        <w:tabs>
          <w:tab w:leader="none" w:pos="1842"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For Cause. </w:t>
      </w:r>
      <w:r>
        <w:rPr>
          <w:rFonts w:ascii="Times New Roman" w:cs="Times New Roman" w:eastAsia="Times New Roman" w:hAnsi="Times New Roman"/>
          <w:sz w:val="19"/>
          <w:szCs w:val="19"/>
          <w:color w:val="auto"/>
        </w:rPr>
        <w:t>The Company may terminate the Executive’s employment for Cause. For this purpose,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knowing or intentional misconduct by the Executive as a result of which the Company is required to prepare an accounting restatement; (v)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 any intentional misconduct or illegal or grossly negligent conduct by the Executive which is materially injurious to the Company monetarily or otherwise; (vii) any material breach by the Executive of the provisions of Section 9 [Certain Employment Obligations] of this Agreement; or</w:t>
      </w:r>
    </w:p>
    <w:p>
      <w:pPr>
        <w:spacing w:after="0" w:line="3" w:lineRule="exact"/>
        <w:rPr>
          <w:rFonts w:ascii="Times New Roman" w:cs="Times New Roman" w:eastAsia="Times New Roman" w:hAnsi="Times New Roman"/>
          <w:sz w:val="19"/>
          <w:szCs w:val="19"/>
          <w:color w:val="auto"/>
        </w:rPr>
      </w:pPr>
    </w:p>
    <w:p>
      <w:pPr>
        <w:jc w:val="both"/>
        <w:ind w:firstLine="2"/>
        <w:spacing w:after="0" w:line="246" w:lineRule="auto"/>
        <w:tabs>
          <w:tab w:leader="none" w:pos="50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(including any plea of guilty or nolo contendere) of any criminal act involving fraud, dishonesty, misappropriation or moral turpitude, or which materially impairs the Executive’s ability to perform Executive’s duties with the Company. A termination for Cause shall not take effect unless: (1) the Executive is given written notice by the Company of its intention to terminate the Executive for Cause; (2) the notice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50" w:right="339" w:bottom="1440" w:gutter="0" w:footer="0" w:header="0"/>
        </w:sectPr>
      </w:pPr>
    </w:p>
    <w:bookmarkStart w:id="34" w:name="page35"/>
    <w:bookmarkEnd w:id="34"/>
    <w:p>
      <w:pPr>
        <w:spacing w:after="0" w:line="268" w:lineRule="auto"/>
        <w:rPr>
          <w:sz w:val="20"/>
          <w:szCs w:val="20"/>
          <w:color w:val="auto"/>
        </w:rPr>
      </w:pPr>
      <w:r>
        <w:rPr>
          <w:rFonts w:ascii="Times New Roman" w:cs="Times New Roman" w:eastAsia="Times New Roman" w:hAnsi="Times New Roman"/>
          <w:sz w:val="20"/>
          <w:szCs w:val="20"/>
          <w:color w:val="auto"/>
        </w:rPr>
        <w:t>specifically identifies the particular act or acts or failure or failures to act which are the basis for such termination; and (3) where practicable, the notice is given within sixty days of the Company’s learning of such act or acts or failure or failures to act.</w:t>
      </w:r>
    </w:p>
    <w:p>
      <w:pPr>
        <w:spacing w:after="0" w:line="160" w:lineRule="exact"/>
        <w:rPr>
          <w:sz w:val="20"/>
          <w:szCs w:val="20"/>
          <w:color w:val="auto"/>
        </w:rPr>
      </w:pPr>
    </w:p>
    <w:p>
      <w:pPr>
        <w:jc w:val="both"/>
        <w:ind w:firstLine="1230"/>
        <w:spacing w:after="0" w:line="262" w:lineRule="auto"/>
        <w:tabs>
          <w:tab w:leader="none" w:pos="1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Without Cause. </w:t>
      </w:r>
      <w:r>
        <w:rPr>
          <w:rFonts w:ascii="Times New Roman" w:cs="Times New Roman" w:eastAsia="Times New Roman" w:hAnsi="Times New Roman"/>
          <w:sz w:val="20"/>
          <w:szCs w:val="20"/>
          <w:color w:val="auto"/>
        </w:rPr>
        <w:t>The Company may terminate the Executive’s employment at any time Without Cause. A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Without Cause</w:t>
      </w:r>
      <w:r>
        <w:rPr>
          <w:rFonts w:ascii="Times New Roman" w:cs="Times New Roman" w:eastAsia="Times New Roman" w:hAnsi="Times New Roman"/>
          <w:sz w:val="20"/>
          <w:szCs w:val="20"/>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15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by the Executive for Good Reason.</w:t>
      </w:r>
    </w:p>
    <w:p>
      <w:pPr>
        <w:spacing w:after="0" w:line="204" w:lineRule="exact"/>
        <w:rPr>
          <w:rFonts w:ascii="Times New Roman" w:cs="Times New Roman" w:eastAsia="Times New Roman" w:hAnsi="Times New Roman"/>
          <w:sz w:val="20"/>
          <w:szCs w:val="20"/>
          <w:color w:val="auto"/>
        </w:rPr>
      </w:pPr>
    </w:p>
    <w:p>
      <w:pPr>
        <w:jc w:val="both"/>
        <w:ind w:firstLine="1844"/>
        <w:spacing w:after="0" w:line="247" w:lineRule="auto"/>
        <w:tabs>
          <w:tab w:leader="none" w:pos="2449"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Not in Connection with a Change in Control. </w:t>
      </w:r>
      <w:r>
        <w:rPr>
          <w:rFonts w:ascii="Times New Roman" w:cs="Times New Roman" w:eastAsia="Times New Roman" w:hAnsi="Times New Roman"/>
          <w:sz w:val="20"/>
          <w:szCs w:val="20"/>
          <w:color w:val="auto"/>
        </w:rPr>
        <w:t>At any time during the Term of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within the period commencing one month prior to and ending twelve months following a Change in Control (as defined below in Section 8(e)(ii)), the Executive may terminate the Executive’s employment with the Company for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Executive’s employment may be transferred, assigned, or re-assigned to Ross Stores, Inc. or a division, affiliate or subsidiary of Ross Stores, Inc.; the division, affiliate or subsidiary with respect to which the Executive is performing services may be reorganized; and the Executive’s direct reports or the person or title of the person to whom the Executive reports may be changed; and no such transfer, assignment, re-assignment, reorganization or change shall constitute “Good Reason” for the Executive’s termination of employment under this Section 6(e)(i);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78" w:lineRule="exact"/>
        <w:rPr>
          <w:rFonts w:ascii="Times New Roman" w:cs="Times New Roman" w:eastAsia="Times New Roman" w:hAnsi="Times New Roman"/>
          <w:sz w:val="20"/>
          <w:szCs w:val="20"/>
          <w:color w:val="auto"/>
        </w:rPr>
      </w:pPr>
    </w:p>
    <w:p>
      <w:pPr>
        <w:jc w:val="both"/>
        <w:ind w:firstLine="1844"/>
        <w:spacing w:after="0" w:line="252" w:lineRule="auto"/>
        <w:tabs>
          <w:tab w:leader="none" w:pos="245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in Connection with a Change in Control. </w:t>
      </w:r>
      <w:r>
        <w:rPr>
          <w:rFonts w:ascii="Times New Roman" w:cs="Times New Roman" w:eastAsia="Times New Roman" w:hAnsi="Times New Roman"/>
          <w:sz w:val="20"/>
          <w:szCs w:val="20"/>
          <w:color w:val="auto"/>
        </w:rPr>
        <w:t>Within the period commencing a month prior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50" w:right="33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9"/>
          <w:szCs w:val="19"/>
          <w:color w:val="auto"/>
        </w:rPr>
        <w:t>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(iv) a change in 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58" w:lineRule="exact"/>
        <w:rPr>
          <w:sz w:val="20"/>
          <w:szCs w:val="20"/>
          <w:color w:val="auto"/>
        </w:rPr>
      </w:pPr>
    </w:p>
    <w:p>
      <w:pPr>
        <w:jc w:val="both"/>
        <w:ind w:firstLine="1230"/>
        <w:spacing w:after="0" w:line="262" w:lineRule="auto"/>
        <w:tabs>
          <w:tab w:leader="none" w:pos="183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Voluntary Termination. </w:t>
      </w:r>
      <w:r>
        <w:rPr>
          <w:rFonts w:ascii="Times New Roman" w:cs="Times New Roman" w:eastAsia="Times New Roman" w:hAnsi="Times New Roman"/>
          <w:sz w:val="20"/>
          <w:szCs w:val="20"/>
          <w:color w:val="auto"/>
        </w:rPr>
        <w:t>The Executive may voluntarily resign from the Executive’s employment with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time (a “</w:t>
      </w:r>
      <w:r>
        <w:rPr>
          <w:rFonts w:ascii="Times New Roman" w:cs="Times New Roman" w:eastAsia="Times New Roman" w:hAnsi="Times New Roman"/>
          <w:sz w:val="20"/>
          <w:szCs w:val="20"/>
          <w:u w:val="single" w:color="auto"/>
          <w:color w:val="auto"/>
        </w:rPr>
        <w:t>Voluntary Termination</w:t>
      </w:r>
      <w:r>
        <w:rPr>
          <w:rFonts w:ascii="Times New Roman" w:cs="Times New Roman" w:eastAsia="Times New Roman" w:hAnsi="Times New Roman"/>
          <w:sz w:val="20"/>
          <w:szCs w:val="20"/>
          <w:color w:val="auto"/>
        </w:rPr>
        <w:t>”). A voluntary resignation from employment by the Executive for Good Reason pursuant to Section 6(e)(i) shall not be deemed a Voluntary Termination.</w:t>
      </w:r>
    </w:p>
    <w:p>
      <w:pPr>
        <w:spacing w:after="0" w:line="154" w:lineRule="exact"/>
        <w:rPr>
          <w:rFonts w:ascii="Times New Roman" w:cs="Times New Roman" w:eastAsia="Times New Roman" w:hAnsi="Times New Roman"/>
          <w:sz w:val="20"/>
          <w:szCs w:val="20"/>
          <w:color w:val="auto"/>
        </w:rPr>
      </w:pPr>
    </w:p>
    <w:p>
      <w:pPr>
        <w:ind w:firstLine="1230"/>
        <w:spacing w:after="0" w:line="313" w:lineRule="auto"/>
        <w:tabs>
          <w:tab w:leader="none" w:pos="184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Non-Renewal Termination. </w:t>
      </w:r>
      <w:r>
        <w:rPr>
          <w:rFonts w:ascii="Times New Roman" w:cs="Times New Roman" w:eastAsia="Times New Roman" w:hAnsi="Times New Roman"/>
          <w:sz w:val="19"/>
          <w:szCs w:val="19"/>
          <w:color w:val="auto"/>
        </w:rPr>
        <w:t>If the Company does not provide the Executive an Extension Notice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1(c), this Agreement shall automatically expire at the end of the then current Term of Employment (a “</w:t>
      </w:r>
      <w:r>
        <w:rPr>
          <w:rFonts w:ascii="Times New Roman" w:cs="Times New Roman" w:eastAsia="Times New Roman" w:hAnsi="Times New Roman"/>
          <w:sz w:val="19"/>
          <w:szCs w:val="19"/>
          <w:u w:val="single" w:color="auto"/>
          <w:color w:val="auto"/>
        </w:rPr>
        <w:t>Non-Renewal Termination</w:t>
      </w:r>
      <w:r>
        <w:rPr>
          <w:rFonts w:ascii="Times New Roman" w:cs="Times New Roman" w:eastAsia="Times New Roman" w:hAnsi="Times New Roman"/>
          <w:sz w:val="19"/>
          <w:szCs w:val="19"/>
          <w:color w:val="auto"/>
        </w:rPr>
        <w:t>”).</w:t>
      </w:r>
    </w:p>
    <w:p>
      <w:pPr>
        <w:spacing w:after="0" w:line="108" w:lineRule="exact"/>
        <w:rPr>
          <w:rFonts w:ascii="Times New Roman" w:cs="Times New Roman" w:eastAsia="Times New Roman" w:hAnsi="Times New Roman"/>
          <w:sz w:val="19"/>
          <w:szCs w:val="19"/>
          <w:color w:val="auto"/>
        </w:rPr>
      </w:pPr>
    </w:p>
    <w:p>
      <w:pPr>
        <w:ind w:left="1220" w:hanging="604"/>
        <w:spacing w:after="0"/>
        <w:tabs>
          <w:tab w:leader="none" w:pos="12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and Effective Date of Termination.</w:t>
      </w:r>
    </w:p>
    <w:p>
      <w:pPr>
        <w:spacing w:after="0" w:line="204"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termination of the Executive’s employment by the Company or by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(other than as a result of the death of the Executive, a Voluntary Termination described in Section 6(f), or a Non-Renewal Termination described in Section 6(g)) shall be communicated by written notice of termination to the other party hereto. Such notice shall indicate the specific termination provision in this Agreement relied upon and, except in the case of termination Without Cause described in Section 6(d), shall set forth in reasonable detail the facts and circumstances claimed to provide a basis for termination of the Executive’s employment under that provision.</w:t>
      </w:r>
    </w:p>
    <w:p>
      <w:pPr>
        <w:spacing w:after="0" w:line="175"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of Termination. </w:t>
      </w:r>
      <w:r>
        <w:rPr>
          <w:rFonts w:ascii="Times New Roman" w:cs="Times New Roman" w:eastAsia="Times New Roman" w:hAnsi="Times New Roman"/>
          <w:sz w:val="20"/>
          <w:szCs w:val="20"/>
          <w:color w:val="auto"/>
        </w:rPr>
        <w:t>The date of termination of the Executive’s employment shall be:</w:t>
      </w:r>
    </w:p>
    <w:p>
      <w:pPr>
        <w:spacing w:after="0" w:line="208" w:lineRule="exact"/>
        <w:rPr>
          <w:rFonts w:ascii="Times New Roman" w:cs="Times New Roman" w:eastAsia="Times New Roman" w:hAnsi="Times New Roman"/>
          <w:sz w:val="20"/>
          <w:szCs w:val="20"/>
          <w:color w:val="auto"/>
        </w:rPr>
      </w:pPr>
    </w:p>
    <w:p>
      <w:pPr>
        <w:ind w:left="2460" w:hanging="616"/>
        <w:spacing w:after="0"/>
        <w:tabs>
          <w:tab w:leader="none" w:pos="246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the Executive’s death, the date of the Executive’s death;</w:t>
      </w:r>
    </w:p>
    <w:p>
      <w:pPr>
        <w:spacing w:after="0" w:line="217" w:lineRule="exact"/>
        <w:rPr>
          <w:rFonts w:ascii="Times New Roman" w:cs="Times New Roman" w:eastAsia="Times New Roman" w:hAnsi="Times New Roman"/>
          <w:sz w:val="20"/>
          <w:szCs w:val="20"/>
          <w:color w:val="auto"/>
        </w:rPr>
      </w:pPr>
    </w:p>
    <w:p>
      <w:pPr>
        <w:jc w:val="both"/>
        <w:ind w:firstLine="1844"/>
        <w:spacing w:after="0" w:line="254" w:lineRule="auto"/>
        <w:tabs>
          <w:tab w:leader="none" w:pos="2452"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50" w:right="339" w:bottom="1440" w:gutter="0" w:footer="0" w:header="0"/>
        </w:sectPr>
      </w:pPr>
    </w:p>
    <w:bookmarkStart w:id="36" w:name="page37"/>
    <w:bookmarkEnd w:id="36"/>
    <w:p>
      <w:pPr>
        <w:jc w:val="both"/>
        <w:ind w:firstLine="1844"/>
        <w:spacing w:after="0" w:line="254" w:lineRule="auto"/>
        <w:tabs>
          <w:tab w:leader="none" w:pos="2456" w:val="left"/>
        </w:tabs>
        <w:numPr>
          <w:ilvl w:val="3"/>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by the Executive as a Voluntary Termination, the effective date shall be the date mutually agreed to by the Company and the Executive or if the Executive’s employment is terminated for any other reason by either party (other than Voluntary Termination), the date on which a notice of termination is delivered to the other party or, in the event of the Company’s termination of the Executive, such date as the Company may specify in such notice; and</w:t>
      </w:r>
    </w:p>
    <w:p>
      <w:pPr>
        <w:spacing w:after="0" w:line="177" w:lineRule="exact"/>
        <w:rPr>
          <w:rFonts w:ascii="Times New Roman" w:cs="Times New Roman" w:eastAsia="Times New Roman" w:hAnsi="Times New Roman"/>
          <w:sz w:val="20"/>
          <w:szCs w:val="20"/>
          <w:color w:val="auto"/>
        </w:rPr>
      </w:pPr>
    </w:p>
    <w:p>
      <w:pPr>
        <w:ind w:firstLine="1844"/>
        <w:spacing w:after="0" w:line="268" w:lineRule="auto"/>
        <w:tabs>
          <w:tab w:leader="none" w:pos="2445" w:val="left"/>
        </w:tabs>
        <w:numPr>
          <w:ilvl w:val="3"/>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Agreement expires pursuant to a Non-Renewal Termination described in Section 6(g), the parties’ employment relationship shall terminate on the last day of the then current Term of Employment without any notice.</w:t>
      </w:r>
    </w:p>
    <w:p>
      <w:pPr>
        <w:spacing w:after="0" w:line="147"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 Upon Termination.</w:t>
      </w:r>
    </w:p>
    <w:p>
      <w:pPr>
        <w:spacing w:after="0" w:line="217" w:lineRule="exact"/>
        <w:rPr>
          <w:rFonts w:ascii="Times New Roman" w:cs="Times New Roman" w:eastAsia="Times New Roman" w:hAnsi="Times New Roman"/>
          <w:sz w:val="20"/>
          <w:szCs w:val="20"/>
          <w:color w:val="auto"/>
        </w:rPr>
      </w:pPr>
    </w:p>
    <w:p>
      <w:pPr>
        <w:jc w:val="both"/>
        <w:ind w:firstLine="1230"/>
        <w:spacing w:after="0" w:line="248" w:lineRule="auto"/>
        <w:tabs>
          <w:tab w:leader="none" w:pos="1842"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Due To Disability, Without Cause or For Good Reason. </w:t>
      </w:r>
      <w:r>
        <w:rPr>
          <w:rFonts w:ascii="Times New Roman" w:cs="Times New Roman" w:eastAsia="Times New Roman" w:hAnsi="Times New Roman"/>
          <w:sz w:val="20"/>
          <w:szCs w:val="20"/>
          <w:color w:val="auto"/>
        </w:rPr>
        <w:t>If the Executive’s employment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 provided that within sixty days following the Executive’s termination of employment (i) the Executive has executed and delivered to the Company a general release of claims against the Company and its subsidiaries, affiliates, stockholders, directors, officers, employees, agents, 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(ii) the Release has become irrevocable:</w:t>
      </w:r>
    </w:p>
    <w:p>
      <w:pPr>
        <w:spacing w:after="0" w:line="181" w:lineRule="exact"/>
        <w:rPr>
          <w:rFonts w:ascii="Times New Roman" w:cs="Times New Roman" w:eastAsia="Times New Roman" w:hAnsi="Times New Roman"/>
          <w:sz w:val="20"/>
          <w:szCs w:val="20"/>
          <w:color w:val="auto"/>
        </w:rPr>
      </w:pPr>
    </w:p>
    <w:p>
      <w:pPr>
        <w:jc w:val="both"/>
        <w:ind w:firstLine="1844"/>
        <w:spacing w:after="0" w:line="251" w:lineRule="auto"/>
        <w:tabs>
          <w:tab w:leader="none" w:pos="2449"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Commencing on the sixtieth day after the date of the Executive's termination of employment,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continue to pay to the Executive the 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178" w:lineRule="exact"/>
        <w:rPr>
          <w:rFonts w:ascii="Times New Roman" w:cs="Times New Roman" w:eastAsia="Times New Roman" w:hAnsi="Times New Roman"/>
          <w:sz w:val="20"/>
          <w:szCs w:val="20"/>
          <w:color w:val="auto"/>
        </w:rPr>
      </w:pPr>
    </w:p>
    <w:p>
      <w:pPr>
        <w:jc w:val="both"/>
        <w:ind w:firstLine="1844"/>
        <w:spacing w:after="0" w:line="267" w:lineRule="auto"/>
        <w:tabs>
          <w:tab w:leader="none" w:pos="2452" w:val="left"/>
        </w:tabs>
        <w:numPr>
          <w:ilvl w:val="3"/>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Bonus. </w:t>
      </w:r>
      <w:r>
        <w:rPr>
          <w:rFonts w:ascii="Times New Roman" w:cs="Times New Roman" w:eastAsia="Times New Roman" w:hAnsi="Times New Roman"/>
          <w:sz w:val="19"/>
          <w:szCs w:val="19"/>
          <w:color w:val="auto"/>
        </w:rPr>
        <w:t>The Company shall continue to pay to the Executive an annual bonus through the remainder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of Employment then in effect; provided, however, that the amount of the annual bonus determined in accordance with this Section 8(a)</w:t>
      </w:r>
    </w:p>
    <w:p>
      <w:pPr>
        <w:jc w:val="both"/>
        <w:ind w:firstLine="2"/>
        <w:spacing w:after="0" w:line="247" w:lineRule="auto"/>
        <w:tabs>
          <w:tab w:leader="none" w:pos="2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fiscal year of the Company (“Fiscal Year”) in which such Term of Employment ends shall be prorated on the basis of the number of days of such Term of Employment occurring within such Fiscal Year. The amount of each annual bonus payable pursuant to this Section 8(a) (ii),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50" w:right="339" w:bottom="1440" w:gutter="0" w:footer="0" w:header="0"/>
        </w:sectPr>
      </w:pPr>
    </w:p>
    <w:bookmarkStart w:id="37" w:name="page38"/>
    <w:bookmarkEnd w:id="37"/>
    <w:p>
      <w:pPr>
        <w:spacing w:after="0" w:line="268" w:lineRule="auto"/>
        <w:rPr>
          <w:sz w:val="20"/>
          <w:szCs w:val="20"/>
          <w:color w:val="auto"/>
        </w:rPr>
      </w:pPr>
      <w:r>
        <w:rPr>
          <w:rFonts w:ascii="Times New Roman" w:cs="Times New Roman" w:eastAsia="Times New Roman" w:hAnsi="Times New Roman"/>
          <w:sz w:val="20"/>
          <w:szCs w:val="20"/>
          <w:color w:val="auto"/>
        </w:rPr>
        <w:t>shall be paid on the later of the date they would otherwise be paid in accordance with the applicable Company bonus plan or sixty days after the date of the Executive's termination of employment.</w:t>
      </w:r>
    </w:p>
    <w:p>
      <w:pPr>
        <w:spacing w:after="0" w:line="160" w:lineRule="exact"/>
        <w:rPr>
          <w:sz w:val="20"/>
          <w:szCs w:val="20"/>
          <w:color w:val="auto"/>
        </w:rPr>
      </w:pPr>
    </w:p>
    <w:p>
      <w:pPr>
        <w:jc w:val="both"/>
        <w:ind w:firstLine="1844"/>
        <w:spacing w:after="0" w:line="262" w:lineRule="auto"/>
        <w:tabs>
          <w:tab w:leader="none" w:pos="245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54"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4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according to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Executive’s termination of employment.</w:t>
      </w:r>
    </w:p>
    <w:p>
      <w:pPr>
        <w:spacing w:after="0" w:line="172"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5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(as defined in the Executive's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of Performance Shares and Performance Share Agreement from the Company (collectively the "</w:t>
      </w:r>
      <w:r>
        <w:rPr>
          <w:rFonts w:ascii="Times New Roman" w:cs="Times New Roman" w:eastAsia="Times New Roman" w:hAnsi="Times New Roman"/>
          <w:sz w:val="20"/>
          <w:szCs w:val="20"/>
          <w:u w:val="single" w:color="auto"/>
          <w:color w:val="auto"/>
        </w:rPr>
        <w:t>Performance Share Agreement</w:t>
      </w:r>
      <w:r>
        <w:rPr>
          <w:rFonts w:ascii="Times New Roman" w:cs="Times New Roman" w:eastAsia="Times New Roman" w:hAnsi="Times New Roman"/>
          <w:sz w:val="20"/>
          <w:szCs w:val="20"/>
          <w:color w:val="auto"/>
        </w:rPr>
        <w:t>")) next following the Executive's date of termination of employment, the number of Performance Shares that shall become Vested Performance Shares (as defined in the Performance Share Agreement)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72" w:lineRule="exact"/>
        <w:rPr>
          <w:rFonts w:ascii="Times New Roman" w:cs="Times New Roman" w:eastAsia="Times New Roman" w:hAnsi="Times New Roman"/>
          <w:sz w:val="20"/>
          <w:szCs w:val="20"/>
          <w:color w:val="auto"/>
        </w:rPr>
      </w:pPr>
    </w:p>
    <w:p>
      <w:pPr>
        <w:jc w:val="both"/>
        <w:ind w:firstLine="1844"/>
        <w:spacing w:after="0" w:line="255" w:lineRule="auto"/>
        <w:tabs>
          <w:tab w:leader="none" w:pos="244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50" w:right="339" w:bottom="1440" w:gutter="0" w:footer="0" w:header="0"/>
        </w:sectPr>
      </w:pPr>
    </w:p>
    <w:bookmarkStart w:id="38" w:name="page39"/>
    <w:bookmarkEnd w:id="38"/>
    <w:p>
      <w:pPr>
        <w:jc w:val="both"/>
        <w:ind w:firstLine="1844"/>
        <w:spacing w:after="0" w:line="259" w:lineRule="auto"/>
        <w:tabs>
          <w:tab w:leader="none" w:pos="245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 dental,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vision and 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a dependent will end when the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the lesser of (A) 18 months after the termination of the Executive’s employment or (B) the remainder of the Term of Employment, and </w:t>
      </w:r>
      <w:r>
        <w:rPr>
          <w:rFonts w:ascii="Times New Roman" w:cs="Times New Roman" w:eastAsia="Times New Roman" w:hAnsi="Times New Roman"/>
          <w:sz w:val="20"/>
          <w:szCs w:val="20"/>
          <w:b w:val="1"/>
          <w:bCs w:val="1"/>
          <w:u w:val="single" w:color="auto"/>
          <w:color w:val="auto"/>
        </w:rPr>
        <w:t>provided further</w:t>
      </w:r>
      <w:r>
        <w:rPr>
          <w:rFonts w:ascii="Times New Roman" w:cs="Times New Roman" w:eastAsia="Times New Roman" w:hAnsi="Times New Roman"/>
          <w:sz w:val="20"/>
          <w:szCs w:val="20"/>
          <w:color w:val="auto"/>
        </w:rPr>
        <w:t xml:space="preserve"> that (1) any such health care coverage or reimbursement for health care coverage shall cease at such time that the Executive becomes eligible for health care coverage through another employer and (2) 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200" w:lineRule="exact"/>
        <w:rPr>
          <w:sz w:val="20"/>
          <w:szCs w:val="20"/>
          <w:color w:val="auto"/>
        </w:rPr>
      </w:pPr>
    </w:p>
    <w:p>
      <w:pPr>
        <w:spacing w:after="0" w:line="218" w:lineRule="exact"/>
        <w:rPr>
          <w:sz w:val="20"/>
          <w:szCs w:val="20"/>
          <w:color w:val="auto"/>
        </w:rPr>
      </w:pPr>
    </w:p>
    <w:p>
      <w:pPr>
        <w:ind w:firstLine="614"/>
        <w:spacing w:after="0" w:line="291" w:lineRule="auto"/>
        <w:rPr>
          <w:sz w:val="20"/>
          <w:szCs w:val="20"/>
          <w:color w:val="auto"/>
        </w:rPr>
      </w:pPr>
      <w:r>
        <w:rPr>
          <w:rFonts w:ascii="Times New Roman" w:cs="Times New Roman" w:eastAsia="Times New Roman" w:hAnsi="Times New Roman"/>
          <w:sz w:val="20"/>
          <w:szCs w:val="20"/>
          <w:color w:val="auto"/>
        </w:rPr>
        <w:t>The Company shall have no further obligations to the Executive as a result of termination of employment described in this Section 8(a) except as set forth in Section 13.</w:t>
      </w:r>
    </w:p>
    <w:p>
      <w:pPr>
        <w:spacing w:after="0" w:line="124" w:lineRule="exact"/>
        <w:rPr>
          <w:sz w:val="20"/>
          <w:szCs w:val="20"/>
          <w:color w:val="auto"/>
        </w:rPr>
      </w:pPr>
    </w:p>
    <w:p>
      <w:pPr>
        <w:jc w:val="both"/>
        <w:ind w:firstLine="1230"/>
        <w:spacing w:after="0" w:line="263" w:lineRule="auto"/>
        <w:tabs>
          <w:tab w:leader="none" w:pos="18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for Cause or Voluntary Termination. </w:t>
      </w:r>
      <w:r>
        <w:rPr>
          <w:rFonts w:ascii="Times New Roman" w:cs="Times New Roman" w:eastAsia="Times New Roman" w:hAnsi="Times New Roman"/>
          <w:sz w:val="19"/>
          <w:szCs w:val="19"/>
          <w:color w:val="auto"/>
        </w:rPr>
        <w:t>If the Executive’s employment terminates pursuant to 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 terms, any restricted stock, performance share awards or other equity awards that were granted to the Executive by the Company 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51" w:right="339" w:bottom="1440" w:gutter="0" w:footer="0" w:header="0"/>
        </w:sectPr>
      </w:pPr>
    </w:p>
    <w:bookmarkStart w:id="39" w:name="page40"/>
    <w:bookmarkEnd w:id="39"/>
    <w:p>
      <w:pPr>
        <w:jc w:val="both"/>
        <w:ind w:firstLine="1230"/>
        <w:spacing w:after="0" w:line="262" w:lineRule="auto"/>
        <w:tabs>
          <w:tab w:leader="none" w:pos="184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Death. </w:t>
      </w:r>
      <w:r>
        <w:rPr>
          <w:rFonts w:ascii="Times New Roman" w:cs="Times New Roman" w:eastAsia="Times New Roman" w:hAnsi="Times New Roman"/>
          <w:sz w:val="19"/>
          <w:szCs w:val="19"/>
          <w:color w:val="auto"/>
        </w:rPr>
        <w:t>If the Executive’s employment terminates pursuant to Section 6(a) [Death], (i) the Executive’s designated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pro-rated for the number of days the Executive is employed during such fiscal year until the Executive’s death; (iii) any shares of restricted stock granted to the Executive by the Company at least 12 months prior to the Executive’s date of death that are unvested as of such date shall immediately become fully vested and any shares of restricted stock granted to the Executive by the Company within the 12-month period ending on the Executive’s date of death that are unvested as of such date shall automatically be forfeited and the Executive shall have no further rights with respect to such restricted stock; and (iv) the Company shall waive any reacquisition or repayment rights for dividends paid on restricted stock prior to the Executive’s death.</w:t>
      </w:r>
    </w:p>
    <w:p>
      <w:pPr>
        <w:spacing w:after="0" w:line="161" w:lineRule="exact"/>
        <w:rPr>
          <w:rFonts w:ascii="Times New Roman" w:cs="Times New Roman" w:eastAsia="Times New Roman" w:hAnsi="Times New Roman"/>
          <w:sz w:val="19"/>
          <w:szCs w:val="19"/>
          <w:color w:val="auto"/>
        </w:rPr>
      </w:pPr>
    </w:p>
    <w:p>
      <w:pPr>
        <w:jc w:val="both"/>
        <w:ind w:firstLine="1844"/>
        <w:spacing w:after="0" w:line="250" w:lineRule="auto"/>
        <w:tabs>
          <w:tab w:leader="none" w:pos="244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next following the Executive's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68"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dies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Share Vesting Date, all Unvested Common Shares issued in settlement of the Performance Share Award shall become vested in full effective as of the date of such termination.</w:t>
      </w:r>
    </w:p>
    <w:p>
      <w:pPr>
        <w:spacing w:after="0" w:line="154"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Agreement expires as set forth in Section 6(g) [Non-Renewal Termination],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set forth in Sections 8(d)(i) through (v), provided that within sixty days following the Executive’s termination of employment (i) the Executive has executed and delivered the Release to the Company, and (ii) the Release has become irrevocable: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46" w:right="339" w:bottom="1440" w:gutter="0" w:footer="0" w:header="0"/>
        </w:sectPr>
      </w:pPr>
    </w:p>
    <w:bookmarkStart w:id="40" w:name="page41"/>
    <w:bookmarkEnd w:id="40"/>
    <w:p>
      <w:pPr>
        <w:jc w:val="both"/>
        <w:ind w:firstLine="1844"/>
        <w:spacing w:after="0" w:line="249" w:lineRule="auto"/>
        <w:tabs>
          <w:tab w:leader="none" w:pos="24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Company shall pay the Executive an annual bonus for the fiscal year of the Company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in which the date of the Executive’s termination of employment occurs, which shall be prorated for the number of days of such Fiscal Year that the Executive is employed by the Company. The amount of such annual bonus, prior to proration, shall be equal to the annual bonus that the Executive would have earned under the Company’s bonus plan for the Fiscal Year in which the Executive’s termination of employment occurs had the Executive remained in its employment, contingent on the relevant annual bonus plan performance goals for the year in which Executive terminates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 shall be paid on the later of the date they would otherwise be paid in accordance with the applicable Company bonus plan or sixty days after the date of the Executive's termination of employment.</w:t>
      </w:r>
    </w:p>
    <w:p>
      <w:pPr>
        <w:spacing w:after="0" w:line="172"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54"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5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which have not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365-day year). The pro rata amount of shares vesting through the date of non-renewal shall be calculated by multiplying the number of unvested shares scheduled to vest in each respective vesting year by the ratio of the number of days from the date of grant through the date of non-renewal,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Executive’s termination of employment.</w:t>
      </w:r>
    </w:p>
    <w:p>
      <w:pPr>
        <w:spacing w:after="0" w:line="179" w:lineRule="exact"/>
        <w:rPr>
          <w:rFonts w:ascii="Times New Roman" w:cs="Times New Roman" w:eastAsia="Times New Roman" w:hAnsi="Times New Roman"/>
          <w:sz w:val="20"/>
          <w:szCs w:val="20"/>
          <w:color w:val="auto"/>
        </w:rPr>
      </w:pPr>
    </w:p>
    <w:p>
      <w:pPr>
        <w:jc w:val="both"/>
        <w:ind w:firstLine="1844"/>
        <w:spacing w:after="0" w:line="250" w:lineRule="auto"/>
        <w:tabs>
          <w:tab w:leader="none" w:pos="24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on or next following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of employment,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46" w:right="339" w:bottom="1440" w:gutter="0" w:footer="0" w:header="0"/>
        </w:sectPr>
      </w:pPr>
    </w:p>
    <w:bookmarkStart w:id="41" w:name="page42"/>
    <w:bookmarkEnd w:id="41"/>
    <w:p>
      <w:pPr>
        <w:spacing w:after="0" w:line="294" w:lineRule="auto"/>
        <w:rPr>
          <w:sz w:val="20"/>
          <w:szCs w:val="20"/>
          <w:color w:val="auto"/>
        </w:rPr>
      </w:pPr>
      <w:r>
        <w:rPr>
          <w:rFonts w:ascii="Times New Roman" w:cs="Times New Roman" w:eastAsia="Times New Roman" w:hAnsi="Times New Roman"/>
          <w:sz w:val="19"/>
          <w:szCs w:val="19"/>
          <w:color w:val="auto"/>
        </w:rPr>
        <w:t>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39" w:lineRule="exact"/>
        <w:rPr>
          <w:sz w:val="20"/>
          <w:szCs w:val="20"/>
          <w:color w:val="auto"/>
        </w:rPr>
      </w:pPr>
    </w:p>
    <w:p>
      <w:pPr>
        <w:jc w:val="both"/>
        <w:ind w:firstLine="1844"/>
        <w:spacing w:after="0" w:line="262" w:lineRule="auto"/>
        <w:tabs>
          <w:tab w:leader="none" w:pos="245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pursuant to Section 6(g) after the Performance Share Vesting Date, all Unvested Common Shares issued in settlement of the Performance Share Award shall become vested in full effective as of the date of such termination.</w:t>
      </w:r>
    </w:p>
    <w:p>
      <w:pPr>
        <w:spacing w:after="0" w:line="15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Change in Control Provisions.</w:t>
      </w:r>
    </w:p>
    <w:p>
      <w:pPr>
        <w:spacing w:after="0" w:line="204" w:lineRule="exact"/>
        <w:rPr>
          <w:rFonts w:ascii="Times New Roman" w:cs="Times New Roman" w:eastAsia="Times New Roman" w:hAnsi="Times New Roman"/>
          <w:sz w:val="20"/>
          <w:szCs w:val="20"/>
          <w:color w:val="auto"/>
        </w:rPr>
      </w:pPr>
    </w:p>
    <w:p>
      <w:pPr>
        <w:jc w:val="both"/>
        <w:ind w:firstLine="1844"/>
        <w:spacing w:after="0" w:line="252" w:lineRule="auto"/>
        <w:tabs>
          <w:tab w:leader="none" w:pos="244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of Employment in Connection with a Change in Control. </w:t>
      </w:r>
      <w:r>
        <w:rPr>
          <w:rFonts w:ascii="Times New Roman" w:cs="Times New Roman" w:eastAsia="Times New Roman" w:hAnsi="Times New Roman"/>
          <w:sz w:val="20"/>
          <w:szCs w:val="20"/>
          <w:color w:val="auto"/>
        </w:rPr>
        <w:t>If the Executive’s employment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either by the Company Without Cause (as defined in Section 6(d)) or by the Executive for Good Reason (as defined in Section 6(e) (ii)), in either case within the period commencing one month prior to and ending twelve months following a Change in Control, then, subject to Section 22 [Compliance with Section 409A], the Executive shall be entitled to the compensation and benefits set forth in Sections 8(e)(i)(a) through (e) (in addition to any other payments or benefits provided under this Agreement), provided that within sixty days following the Executive’s termination of employment (i) the Executive has executed and delivered the Release to the Company, and (ii) the Release has become irrevocable:</w:t>
      </w:r>
    </w:p>
    <w:p>
      <w:pPr>
        <w:spacing w:after="0" w:line="164" w:lineRule="exact"/>
        <w:rPr>
          <w:rFonts w:ascii="Times New Roman" w:cs="Times New Roman" w:eastAsia="Times New Roman" w:hAnsi="Times New Roman"/>
          <w:sz w:val="20"/>
          <w:szCs w:val="20"/>
          <w:color w:val="auto"/>
        </w:rPr>
      </w:pPr>
    </w:p>
    <w:p>
      <w:pPr>
        <w:jc w:val="both"/>
        <w:ind w:firstLine="3072"/>
        <w:spacing w:after="0" w:line="255" w:lineRule="auto"/>
        <w:tabs>
          <w:tab w:leader="none" w:pos="3679"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then-current annual base salary, which shall be paid to the Executive sixty days following such termination of employment. The payment under this Section 8(e)(i)(a) shall take the place of any payment under Section 8(a)(i) and the Executive shall not be entitled to receive a payment under Section 8(a)(i) if the Executive is entitled to a payment under this Section 8(e)(i)(a).</w:t>
      </w:r>
    </w:p>
    <w:p>
      <w:pPr>
        <w:spacing w:after="0" w:line="173" w:lineRule="exact"/>
        <w:rPr>
          <w:rFonts w:ascii="Times New Roman" w:cs="Times New Roman" w:eastAsia="Times New Roman" w:hAnsi="Times New Roman"/>
          <w:sz w:val="20"/>
          <w:szCs w:val="20"/>
          <w:color w:val="auto"/>
        </w:rPr>
      </w:pPr>
    </w:p>
    <w:p>
      <w:pPr>
        <w:jc w:val="both"/>
        <w:ind w:firstLine="3072"/>
        <w:spacing w:after="0" w:line="251" w:lineRule="auto"/>
        <w:tabs>
          <w:tab w:leader="none" w:pos="3677"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annual bonus for the Company’s fiscal year then in effect on the date termination of employment occurs, which shall be paid to the Executive sixty days following such termination of employment. The payment under this Section 8(e)(i)(b) shall take the place of any payment under Section 8(a)(ii) and the Executive shall not be entitled to receive a payment under Section 8(a)(ii) if the Executive is entitled to a payment under this Section 8(e)(i)(b).</w:t>
      </w:r>
    </w:p>
    <w:p>
      <w:pPr>
        <w:spacing w:after="0" w:line="178" w:lineRule="exact"/>
        <w:rPr>
          <w:rFonts w:ascii="Times New Roman" w:cs="Times New Roman" w:eastAsia="Times New Roman" w:hAnsi="Times New Roman"/>
          <w:sz w:val="20"/>
          <w:szCs w:val="20"/>
          <w:color w:val="auto"/>
        </w:rPr>
      </w:pPr>
    </w:p>
    <w:p>
      <w:pPr>
        <w:jc w:val="both"/>
        <w:ind w:firstLine="3072"/>
        <w:spacing w:after="0" w:line="267" w:lineRule="auto"/>
        <w:tabs>
          <w:tab w:leader="none" w:pos="3679" w:val="left"/>
        </w:tabs>
        <w:numPr>
          <w:ilvl w:val="2"/>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Equity. </w:t>
      </w:r>
      <w:r>
        <w:rPr>
          <w:rFonts w:ascii="Times New Roman" w:cs="Times New Roman" w:eastAsia="Times New Roman" w:hAnsi="Times New Roman"/>
          <w:sz w:val="19"/>
          <w:szCs w:val="19"/>
          <w:color w:val="auto"/>
        </w:rPr>
        <w:t>All shares of restricted stock granted to the Executive by the Company shall become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vested in full upon the termination. Additionally, if the termination occurs prior to the Performance Share Vesting Date, 100% of the Target Number of Performance Shares shall be deemed Vested Performance Shares effective as of the date of the termination. All Unvested Common Shares issued in settlement of the Performance Share Award shall become vested effective as of the date of such termination. Except as set forth in this Section 8(e),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50" w:right="339" w:bottom="1440" w:gutter="0" w:footer="0" w:header="0"/>
        </w:sectPr>
      </w:pPr>
    </w:p>
    <w:bookmarkStart w:id="42" w:name="page43"/>
    <w:bookmarkEnd w:id="42"/>
    <w:p>
      <w:pPr>
        <w:jc w:val="both"/>
        <w:ind w:firstLine="3072"/>
        <w:spacing w:after="0" w:line="262" w:lineRule="auto"/>
        <w:tabs>
          <w:tab w:leader="none" w:pos="3677"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Estate Planning. </w:t>
      </w:r>
      <w:r>
        <w:rPr>
          <w:rFonts w:ascii="Times New Roman" w:cs="Times New Roman" w:eastAsia="Times New Roman" w:hAnsi="Times New Roman"/>
          <w:sz w:val="20"/>
          <w:szCs w:val="20"/>
          <w:color w:val="auto"/>
        </w:rPr>
        <w:t>The Executive shall be entitled to reimbursement of the Executive’s 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54" w:lineRule="exact"/>
        <w:rPr>
          <w:rFonts w:ascii="Times New Roman" w:cs="Times New Roman" w:eastAsia="Times New Roman" w:hAnsi="Times New Roman"/>
          <w:sz w:val="20"/>
          <w:szCs w:val="20"/>
          <w:color w:val="auto"/>
        </w:rPr>
      </w:pPr>
    </w:p>
    <w:p>
      <w:pPr>
        <w:jc w:val="both"/>
        <w:ind w:firstLine="3072"/>
        <w:spacing w:after="0" w:line="247" w:lineRule="auto"/>
        <w:tabs>
          <w:tab w:leader="none" w:pos="3679"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18 months after the termination of the Executive’s employment; and </w:t>
      </w:r>
      <w:r>
        <w:rPr>
          <w:rFonts w:ascii="Times New Roman" w:cs="Times New Roman" w:eastAsia="Times New Roman" w:hAnsi="Times New Roman"/>
          <w:sz w:val="20"/>
          <w:szCs w:val="20"/>
          <w:b w:val="1"/>
          <w:bCs w:val="1"/>
          <w:u w:val="single" w:color="auto"/>
          <w:color w:val="auto"/>
        </w:rPr>
        <w:t>provided further</w:t>
      </w:r>
      <w:r>
        <w:rPr>
          <w:rFonts w:ascii="Times New Roman" w:cs="Times New Roman" w:eastAsia="Times New Roman" w:hAnsi="Times New Roman"/>
          <w:sz w:val="20"/>
          <w:szCs w:val="20"/>
          <w:color w:val="auto"/>
        </w:rPr>
        <w:t xml:space="preserve"> that (1) any such health care coverage or reimbursement for health care coverage shall cease at such time that the Executive becomes eligible for health care coverage 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91" w:lineRule="exact"/>
        <w:rPr>
          <w:rFonts w:ascii="Times New Roman" w:cs="Times New Roman" w:eastAsia="Times New Roman" w:hAnsi="Times New Roman"/>
          <w:sz w:val="20"/>
          <w:szCs w:val="20"/>
          <w:color w:val="auto"/>
        </w:rPr>
      </w:pPr>
    </w:p>
    <w:p>
      <w:pPr>
        <w:ind w:left="2460" w:hanging="616"/>
        <w:spacing w:after="0"/>
        <w:tabs>
          <w:tab w:leader="none" w:pos="24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Defined.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one or more of the following</w:t>
      </w:r>
    </w:p>
    <w:p>
      <w:pPr>
        <w:spacing w:after="0" w:line="2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Company:</w:t>
      </w:r>
    </w:p>
    <w:p>
      <w:pPr>
        <w:spacing w:after="0" w:line="182" w:lineRule="exact"/>
        <w:rPr>
          <w:rFonts w:ascii="Times New Roman" w:cs="Times New Roman" w:eastAsia="Times New Roman" w:hAnsi="Times New Roman"/>
          <w:sz w:val="20"/>
          <w:szCs w:val="20"/>
          <w:color w:val="auto"/>
        </w:rPr>
      </w:pPr>
    </w:p>
    <w:p>
      <w:pPr>
        <w:jc w:val="both"/>
        <w:ind w:firstLine="2458"/>
        <w:spacing w:after="0" w:line="248" w:lineRule="auto"/>
        <w:tabs>
          <w:tab w:leader="none" w:pos="306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Securities Exchange Act of 1934, as amended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 connection with a public offering of securities; (C) any acquisition by the Company; (D) any acquisition by a trustee or other fiduciary under an employee benefit plan of the Company; or (E) any acquisition by an entity owned directly or indirectly by the stockholders of the Company in substantially the same proportions as their ownership of the voting securities of the Company; 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46" w:right="339" w:bottom="1440" w:gutter="0" w:footer="0" w:header="0"/>
        </w:sectPr>
      </w:pPr>
    </w:p>
    <w:bookmarkStart w:id="43" w:name="page44"/>
    <w:bookmarkEnd w:id="43"/>
    <w:p>
      <w:pPr>
        <w:ind w:left="3080" w:hanging="622"/>
        <w:spacing w:after="0"/>
        <w:tabs>
          <w:tab w:leader="none" w:pos="308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following events (“</w:t>
      </w:r>
      <w:r>
        <w:rPr>
          <w:rFonts w:ascii="Times New Roman" w:cs="Times New Roman" w:eastAsia="Times New Roman" w:hAnsi="Times New Roman"/>
          <w:sz w:val="19"/>
          <w:szCs w:val="19"/>
          <w:u w:val="single" w:color="auto"/>
          <w:color w:val="auto"/>
        </w:rPr>
        <w:t>Ownership Change Event</w:t>
      </w:r>
      <w:r>
        <w:rPr>
          <w:rFonts w:ascii="Times New Roman" w:cs="Times New Roman" w:eastAsia="Times New Roman" w:hAnsi="Times New Roman"/>
          <w:sz w:val="19"/>
          <w:szCs w:val="19"/>
          <w:color w:val="auto"/>
        </w:rPr>
        <w:t>”) or series of related Ownership Change Events</w:t>
      </w:r>
    </w:p>
    <w:p>
      <w:pPr>
        <w:spacing w:after="0" w:line="33" w:lineRule="exact"/>
        <w:rPr>
          <w:rFonts w:ascii="Times New Roman" w:cs="Times New Roman" w:eastAsia="Times New Roman" w:hAnsi="Times New Roman"/>
          <w:sz w:val="19"/>
          <w:szCs w:val="19"/>
          <w:color w:val="auto"/>
        </w:rPr>
      </w:pPr>
    </w:p>
    <w:p>
      <w:pPr>
        <w:jc w:val="both"/>
        <w:spacing w:after="0" w:line="24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(collectively, a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 (B) 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the case may be; or</w:t>
      </w:r>
    </w:p>
    <w:p>
      <w:pPr>
        <w:spacing w:after="0" w:line="175" w:lineRule="exact"/>
        <w:rPr>
          <w:rFonts w:ascii="Times New Roman" w:cs="Times New Roman" w:eastAsia="Times New Roman" w:hAnsi="Times New Roman"/>
          <w:sz w:val="19"/>
          <w:szCs w:val="19"/>
          <w:color w:val="auto"/>
        </w:rPr>
      </w:pPr>
    </w:p>
    <w:p>
      <w:pPr>
        <w:jc w:val="both"/>
        <w:ind w:firstLine="2458"/>
        <w:spacing w:after="0" w:line="251" w:lineRule="auto"/>
        <w:tabs>
          <w:tab w:leader="none" w:pos="306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 (3) are related and to be treated in the aggregate as a single Change in Control, and its determination shall be final, binding and conclusive.</w:t>
      </w:r>
    </w:p>
    <w:p>
      <w:pPr>
        <w:spacing w:after="0" w:line="164"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5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Excise Tax - Best After-Tax Result. </w:t>
      </w:r>
      <w:r>
        <w:rPr>
          <w:rFonts w:ascii="Times New Roman" w:cs="Times New Roman" w:eastAsia="Times New Roman" w:hAnsi="Times New Roman"/>
          <w:sz w:val="20"/>
          <w:szCs w:val="20"/>
          <w:color w:val="auto"/>
        </w:rPr>
        <w:t>In the event that any payment or benefit received or to be received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pursuant to this Agreement or otherwise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subject to the provisions of Section 8(e)(iv), such Payments shall be either (1) provided in full pursuant to the terms of this Agreement or any other applicable agreement, or (2) provided as to such lesser extent which would result in no portion of such Payments being subject to the Excise Tax (“</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whichever of the foregoing amounts, taking into account the applicable federal, state, local and foreign income, employment and other taxes and the Excise Tax (including, without limitation, any interest or penalties on such taxes), results in the receipt by the Executive, on an after-tax basis, of the greatest amount of payments and benefits provided for hereunder or otherwise, notwithstanding that all or some portion of such Payments may be subject to the Excise Tax. If the Executive’s payments or benefits are delivered to a lesser extent in accordance with this clause (2) above, then the Executive’s aggregate benefits shall be reduced in the following order: (i) cash severance pay that is exempt from Section 409A; (ii) any other cash severance pay; (iii) reimbursement payments under Section 4(c), above; (iv) any restricted stock; (v) any equity awards other than restricted stock and stock options; and (vi) stock options. Unless the Company and the Executive otherwise agree in writing, any determination required under this Section shall be made by an independent advisor designated by the Company and reasonably acceptable to the Executive (“</w:t>
      </w:r>
      <w:r>
        <w:rPr>
          <w:rFonts w:ascii="Times New Roman" w:cs="Times New Roman" w:eastAsia="Times New Roman" w:hAnsi="Times New Roman"/>
          <w:sz w:val="20"/>
          <w:szCs w:val="20"/>
          <w:u w:val="single" w:color="auto"/>
          <w:color w:val="auto"/>
        </w:rPr>
        <w:t>Independent Advisor</w:t>
      </w:r>
      <w:r>
        <w:rPr>
          <w:rFonts w:ascii="Times New Roman" w:cs="Times New Roman" w:eastAsia="Times New Roman" w:hAnsi="Times New Roman"/>
          <w:sz w:val="20"/>
          <w:szCs w:val="20"/>
          <w:color w:val="auto"/>
        </w:rPr>
        <w:t>”), whose determination shall be conclusive and binding upon the Executive and the Company for all purposes. For purposes of making the calculations required under this Section, Independent Advisor may make reasonable assumptions and approximations concerning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50" w:right="339" w:bottom="1440" w:gutter="0" w:footer="0" w:header="0"/>
        </w:sectPr>
      </w:pPr>
    </w:p>
    <w:bookmarkStart w:id="44" w:name="page45"/>
    <w:bookmarkEnd w:id="44"/>
    <w:p>
      <w:pPr>
        <w:jc w:val="both"/>
        <w:spacing w:after="0" w:line="247" w:lineRule="auto"/>
        <w:rPr>
          <w:sz w:val="20"/>
          <w:szCs w:val="20"/>
          <w:color w:val="auto"/>
        </w:rPr>
      </w:pPr>
      <w:r>
        <w:rPr>
          <w:rFonts w:ascii="Times New Roman" w:cs="Times New Roman" w:eastAsia="Times New Roman" w:hAnsi="Times New Roman"/>
          <w:sz w:val="20"/>
          <w:szCs w:val="20"/>
          <w:color w:val="auto"/>
        </w:rPr>
        <w:t>applicable taxes and may rely on reasonable, good faith interpretations concerning the application of Sections 280G and 4999 of the Code; provided that Independent Advisor shall assume that the Executive pays all taxes at the highest marginal rate. The Company and the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8(e)(iii) applies, then based on the information provided to the Executive and the Company by Independent Advisor, the Executive may, in the Executive’s sole discretion and within thirty days of the date on which the Executive is provided with the information prepared by Independent Advisor, determine which and how much of the Payments (including the accelerated vesting of equity compensation awards) to be otherwise received by the Executive shall be eliminated or reduced (as long as after such determination the value (as calculated by Independent Advisor in accordance with the provisions of Sections 280G and 4999 of the Code) of the amounts payable or distributable to the Executive equals the Reduced Amount). If the Internal Revenue Service (the “</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determines that any Payment is subject to the Excise Tax, then Section 8(e)(iv) hereof shall apply, and the enforcement of Section 8(e)(iv) shall be the exclusive remedy to the Company.</w:t>
      </w:r>
    </w:p>
    <w:p>
      <w:pPr>
        <w:spacing w:after="0" w:line="187" w:lineRule="exact"/>
        <w:rPr>
          <w:sz w:val="20"/>
          <w:szCs w:val="20"/>
          <w:color w:val="auto"/>
        </w:rPr>
      </w:pPr>
    </w:p>
    <w:p>
      <w:pPr>
        <w:jc w:val="both"/>
        <w:ind w:firstLine="1844"/>
        <w:spacing w:after="0" w:line="263" w:lineRule="auto"/>
        <w:tabs>
          <w:tab w:leader="none" w:pos="2445"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Adjustments. </w:t>
      </w:r>
      <w:r>
        <w:rPr>
          <w:rFonts w:ascii="Times New Roman" w:cs="Times New Roman" w:eastAsia="Times New Roman" w:hAnsi="Times New Roman"/>
          <w:sz w:val="19"/>
          <w:szCs w:val="19"/>
          <w:color w:val="auto"/>
        </w:rPr>
        <w:t>If, notwithstanding any reduction described in Section 8(e)(iii) (or in the absence of any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reduction), the IRS determines that the Executive is liable for the Excise Tax as a result of the receipt of one or more Payments, then the Executive shall be obligated to surrender or pay back to the Company, within 120 days after a final IRS determination, an amount of such payments or benefits equal to the “</w:t>
      </w:r>
      <w:r>
        <w:rPr>
          <w:rFonts w:ascii="Times New Roman" w:cs="Times New Roman" w:eastAsia="Times New Roman" w:hAnsi="Times New Roman"/>
          <w:sz w:val="19"/>
          <w:szCs w:val="19"/>
          <w:u w:val="single" w:color="auto"/>
          <w:color w:val="auto"/>
        </w:rPr>
        <w:t>Repayment Amount</w:t>
      </w:r>
      <w:r>
        <w:rPr>
          <w:rFonts w:ascii="Times New Roman" w:cs="Times New Roman" w:eastAsia="Times New Roman" w:hAnsi="Times New Roman"/>
          <w:sz w:val="19"/>
          <w:szCs w:val="19"/>
          <w:color w:val="auto"/>
        </w:rPr>
        <w:t>.” The Repayment Amount with respect to such Payments shall be the smallest such amount, if any, as shall be required to be surrendered or paid to the Company so that the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the Executive from the Payments. If the Excise Tax is not eliminated pursuant to this Section, the Executive shall pay the Excise Tax.</w:t>
      </w:r>
    </w:p>
    <w:p>
      <w:pPr>
        <w:spacing w:after="0" w:line="160" w:lineRule="exact"/>
        <w:rPr>
          <w:rFonts w:ascii="Times New Roman" w:cs="Times New Roman" w:eastAsia="Times New Roman" w:hAnsi="Times New Roman"/>
          <w:sz w:val="19"/>
          <w:szCs w:val="19"/>
          <w:color w:val="auto"/>
        </w:rPr>
      </w:pPr>
    </w:p>
    <w:p>
      <w:pPr>
        <w:jc w:val="both"/>
        <w:ind w:firstLine="1844"/>
        <w:spacing w:after="0" w:line="248" w:lineRule="auto"/>
        <w:tabs>
          <w:tab w:leader="none" w:pos="245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Performance Share Award. </w:t>
      </w:r>
      <w:r>
        <w:rPr>
          <w:rFonts w:ascii="Times New Roman" w:cs="Times New Roman" w:eastAsia="Times New Roman" w:hAnsi="Times New Roman"/>
          <w:sz w:val="20"/>
          <w:szCs w:val="20"/>
          <w:color w:val="auto"/>
        </w:rPr>
        <w:t>In the event of a Change in Control, the surviving,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continuing, successor, or purchasing corporation or other business entity or parent thereof, as the case may be (the “</w:t>
      </w:r>
      <w:r>
        <w:rPr>
          <w:rFonts w:ascii="Times New Roman" w:cs="Times New Roman" w:eastAsia="Times New Roman" w:hAnsi="Times New Roman"/>
          <w:sz w:val="20"/>
          <w:szCs w:val="20"/>
          <w:u w:val="single" w:color="auto"/>
          <w:color w:val="auto"/>
        </w:rPr>
        <w:t>Acquirer</w:t>
      </w:r>
      <w:r>
        <w:rPr>
          <w:rFonts w:ascii="Times New Roman" w:cs="Times New Roman" w:eastAsia="Times New Roman" w:hAnsi="Times New Roman"/>
          <w:sz w:val="20"/>
          <w:szCs w:val="20"/>
          <w:color w:val="auto"/>
        </w:rPr>
        <w:t>”),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 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Performance Share Awards in connection with a Change in Control prior to the Performance Share Vesting Date, (i) the Target Number of Performance Shares shall become fully vested and such Performance Shares shall be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50"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20"/>
          <w:szCs w:val="20"/>
          <w:color w:val="auto"/>
        </w:rPr>
        <w:t>deemed Vested Performance Shares and one Vested Common Share shall be issued to the Executive for each such Vested Performance Share immediately prior to the Change in Control and (ii) 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spacing w:after="0" w:line="165" w:lineRule="exact"/>
        <w:rPr>
          <w:sz w:val="20"/>
          <w:szCs w:val="20"/>
          <w:color w:val="auto"/>
        </w:rPr>
      </w:pPr>
    </w:p>
    <w:p>
      <w:pPr>
        <w:jc w:val="both"/>
        <w:ind w:firstLine="1844"/>
        <w:spacing w:after="0" w:line="248" w:lineRule="auto"/>
        <w:tabs>
          <w:tab w:leader="none" w:pos="2445"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Restricted Stock Award. </w:t>
      </w:r>
      <w:r>
        <w:rPr>
          <w:rFonts w:ascii="Times New Roman" w:cs="Times New Roman" w:eastAsia="Times New Roman" w:hAnsi="Times New Roman"/>
          <w:sz w:val="20"/>
          <w:szCs w:val="20"/>
          <w:color w:val="auto"/>
        </w:rPr>
        <w:t>In the event of a Change in Control, the Acquirer,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174"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Employment Obligations.</w:t>
      </w:r>
    </w:p>
    <w:p>
      <w:pPr>
        <w:spacing w:after="0" w:line="217" w:lineRule="exact"/>
        <w:rPr>
          <w:rFonts w:ascii="Times New Roman" w:cs="Times New Roman" w:eastAsia="Times New Roman" w:hAnsi="Times New Roman"/>
          <w:sz w:val="20"/>
          <w:szCs w:val="20"/>
          <w:color w:val="auto"/>
        </w:rPr>
      </w:pPr>
    </w:p>
    <w:p>
      <w:pPr>
        <w:jc w:val="both"/>
        <w:ind w:firstLine="1230"/>
        <w:spacing w:after="0" w:line="248" w:lineRule="auto"/>
        <w:tabs>
          <w:tab w:leader="none" w:pos="184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Acknowledgement. </w:t>
      </w:r>
      <w:r>
        <w:rPr>
          <w:rFonts w:ascii="Times New Roman" w:cs="Times New Roman" w:eastAsia="Times New Roman" w:hAnsi="Times New Roman"/>
          <w:sz w:val="20"/>
          <w:szCs w:val="20"/>
          <w:color w:val="auto"/>
        </w:rPr>
        <w:t>The Company and the Executive acknowledge that (i) the Company has a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 and constitutes valuable proprietary assets of the Company, and the Company will suffer substantial damage and irreparable harm which will be difficult to compute if, during the term of the Executive’s employment or thereafter, the Executive should disclose or improperly use such Confidential Information in violation of the provisions of this Agreement; (iv) the Company will suffer substantial damage which will be difficult to compute if, the Executive solicits or interferes with the Company’s employees; (v) the provisions of this Agreement are reasonable and necessary for the protection of the business of the Company; and (vi) the provisions of this Agreement will not preclude the Executive from obtaining other gainful employment or service.</w:t>
      </w:r>
    </w:p>
    <w:p>
      <w:pPr>
        <w:spacing w:after="0" w:line="181"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w:t>
      </w:r>
      <w:r>
        <w:rPr>
          <w:rFonts w:ascii="Times New Roman" w:cs="Times New Roman" w:eastAsia="Times New Roman" w:hAnsi="Times New Roman"/>
          <w:sz w:val="20"/>
          <w:szCs w:val="20"/>
          <w:color w:val="auto"/>
        </w:rPr>
        <w:t>During the period of the Executive’s employment with the Company and for a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50"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0"/>
          <w:szCs w:val="20"/>
          <w:color w:val="auto"/>
        </w:rPr>
        <w:t>induce the termination of employment of any person who is employed by the Company or (ii) encourage any such person not to devote such person’s full business time to the Company.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72" w:lineRule="exact"/>
        <w:rPr>
          <w:sz w:val="20"/>
          <w:szCs w:val="20"/>
          <w:color w:val="auto"/>
        </w:rPr>
      </w:pPr>
    </w:p>
    <w:p>
      <w:pPr>
        <w:jc w:val="both"/>
        <w:ind w:firstLine="1230"/>
        <w:spacing w:after="0" w:line="264" w:lineRule="auto"/>
        <w:tabs>
          <w:tab w:leader="none" w:pos="1842"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Non-Solicitation of Third Parties. </w:t>
      </w:r>
      <w:r>
        <w:rPr>
          <w:rFonts w:ascii="Times New Roman" w:cs="Times New Roman" w:eastAsia="Times New Roman" w:hAnsi="Times New Roman"/>
          <w:sz w:val="19"/>
          <w:szCs w:val="19"/>
          <w:color w:val="auto"/>
        </w:rPr>
        <w:t>During the period of the Executive’s employment with the Company and for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of 24 months following the Executive’s termination of employment with the Company, the Executive shall not in any way use any of the Company’s trade secrets to directly or indirectly solicit or otherwise influence any entity with a business arrangement with the Company, with whom the Executive had contact during the Executive’s employment with the Company, including, without limitation, suppliers, sales 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54" w:lineRule="exact"/>
        <w:rPr>
          <w:rFonts w:ascii="Times New Roman" w:cs="Times New Roman" w:eastAsia="Times New Roman" w:hAnsi="Times New Roman"/>
          <w:sz w:val="19"/>
          <w:szCs w:val="19"/>
          <w:color w:val="auto"/>
        </w:rPr>
      </w:pPr>
    </w:p>
    <w:p>
      <w:pPr>
        <w:jc w:val="both"/>
        <w:ind w:firstLine="1230"/>
        <w:spacing w:after="0" w:line="252" w:lineRule="auto"/>
        <w:tabs>
          <w:tab w:leader="none" w:pos="18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The Executive acknowledges and agrees that the Executive will not defame or criticize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business, integrity, veracity, or personal or professional reputation of the Company or any of its directors, officers, employees, affiliates, or agents of any of the foregoing in either a professional or personal manner either during the term of the Executive’s employment or thereafter. Nothing in this Agreement prevents the Executive from discussing or disclosing information about unlawful acts in the workplace, such as sexual harassment, sexual assault, or discrimination or any other conduct that the Executive has reason to believe is unlawful, or otherwise restricts or impedes the Executive from exercising protected rights as permitted by applicable law.</w:t>
      </w:r>
    </w:p>
    <w:p>
      <w:pPr>
        <w:spacing w:after="0" w:line="162"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Remedies for Executive’s Breach of Certain Obligations.</w:t>
      </w:r>
    </w:p>
    <w:p>
      <w:pPr>
        <w:spacing w:after="0" w:line="221"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50" w:right="339" w:bottom="1440" w:gutter="0" w:footer="0" w:header="0"/>
        </w:sectPr>
      </w:pPr>
    </w:p>
    <w:bookmarkStart w:id="47" w:name="page48"/>
    <w:bookmarkEnd w:id="47"/>
    <w:p>
      <w:pPr>
        <w:jc w:val="both"/>
        <w:ind w:firstLine="1230"/>
        <w:spacing w:after="0" w:line="260" w:lineRule="auto"/>
        <w:tabs>
          <w:tab w:leader="none" w:pos="18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60" w:lineRule="exact"/>
        <w:rPr>
          <w:rFonts w:ascii="Times New Roman" w:cs="Times New Roman" w:eastAsia="Times New Roman" w:hAnsi="Times New Roman"/>
          <w:sz w:val="20"/>
          <w:szCs w:val="20"/>
          <w:color w:val="auto"/>
        </w:rPr>
      </w:pPr>
    </w:p>
    <w:p>
      <w:pPr>
        <w:jc w:val="both"/>
        <w:ind w:firstLine="1844"/>
        <w:spacing w:after="0" w:line="251" w:lineRule="auto"/>
        <w:tabs>
          <w:tab w:leader="none" w:pos="244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forfeit to the Company (A) all stock options, stock appreciation rights, performance shares and other equity compensation awards (other than shares of restricted stock, restricted stock units, and common shares issued in settlement of performance share awards or similar awards) granted to the Executive by the Company which remain outstanding and unexercised or unpaid as of the date of such determination by the Board (the “</w:t>
      </w:r>
      <w:r>
        <w:rPr>
          <w:rFonts w:ascii="Times New Roman" w:cs="Times New Roman" w:eastAsia="Times New Roman" w:hAnsi="Times New Roman"/>
          <w:sz w:val="20"/>
          <w:szCs w:val="20"/>
          <w:u w:val="single" w:color="auto"/>
          <w:color w:val="auto"/>
        </w:rPr>
        <w:t>Breach Determination Date</w:t>
      </w:r>
      <w:r>
        <w:rPr>
          <w:rFonts w:ascii="Times New Roman" w:cs="Times New Roman" w:eastAsia="Times New Roman" w:hAnsi="Times New Roman"/>
          <w:sz w:val="20"/>
          <w:szCs w:val="20"/>
          <w:color w:val="auto"/>
        </w:rPr>
        <w:t>”) and (B) all shares of restricted stock, restricted stock units,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71" w:lineRule="exact"/>
        <w:rPr>
          <w:rFonts w:ascii="Times New Roman" w:cs="Times New Roman" w:eastAsia="Times New Roman" w:hAnsi="Times New Roman"/>
          <w:sz w:val="20"/>
          <w:szCs w:val="20"/>
          <w:color w:val="auto"/>
        </w:rPr>
      </w:pPr>
    </w:p>
    <w:p>
      <w:pPr>
        <w:jc w:val="both"/>
        <w:ind w:firstLine="1844"/>
        <w:spacing w:after="0" w:line="251" w:lineRule="auto"/>
        <w:tabs>
          <w:tab w:leader="none" w:pos="245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 pursuant to awards of restricted stock, restricted stock units or similar awards granted to the Executive by the Company and which vested during the Forfeiture Period.</w:t>
      </w:r>
    </w:p>
    <w:p>
      <w:pPr>
        <w:spacing w:after="0" w:line="168"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172"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the “</w:t>
      </w:r>
      <w:r>
        <w:rPr>
          <w:rFonts w:ascii="Times New Roman" w:cs="Times New Roman" w:eastAsia="Times New Roman" w:hAnsi="Times New Roman"/>
          <w:sz w:val="20"/>
          <w:szCs w:val="20"/>
          <w:u w:val="single" w:color="auto"/>
          <w:color w:val="auto"/>
        </w:rPr>
        <w:t>Forfeiture Period</w:t>
      </w:r>
      <w:r>
        <w:rPr>
          <w:rFonts w:ascii="Times New Roman" w:cs="Times New Roman" w:eastAsia="Times New Roman" w:hAnsi="Times New Roman"/>
          <w:sz w:val="20"/>
          <w:szCs w:val="20"/>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50" w:right="339" w:bottom="1440" w:gutter="0" w:footer="0" w:header="0"/>
        </w:sectPr>
      </w:pPr>
    </w:p>
    <w:bookmarkStart w:id="48" w:name="page49"/>
    <w:bookmarkEnd w:id="48"/>
    <w:p>
      <w:pPr>
        <w:ind w:firstLine="1230"/>
        <w:spacing w:after="0" w:line="268" w:lineRule="auto"/>
        <w:tabs>
          <w:tab w:leader="none" w:pos="1842"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pay to the Company immediately upon the Breach Determination Date the amount payable by the Executive to the Company pursuant to this Section.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47" w:lineRule="auto"/>
        <w:tabs>
          <w:tab w:leader="none" w:pos="1833"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seek specific performance, injunctive relief, and other equitable relief from a court of competent jurisdiction, to prevent or restrain such breach or threatened breach. The Company may at its option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74"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The Executive hereby understands and agrees that (i) if the Executive is an “Affected Officer”,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in the Company’s Policy for Recovery of Erroneously Awarded Incentive Compensation, adopted November 15, 2023 (“Recovery Policy”), the Executive shall be subject to the Recovery Policy in addition to the Company’s recoupment policy (“Recoupment Policy”) and</w:t>
      </w:r>
    </w:p>
    <w:p>
      <w:pPr>
        <w:jc w:val="both"/>
        <w:ind w:firstLine="2"/>
        <w:spacing w:after="0" w:line="246" w:lineRule="auto"/>
        <w:tabs>
          <w:tab w:leader="none" w:pos="30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not an Affected Officer, the Executive shall be subject to the Company’s Recoupment Policy. Under the Recoupment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 (1) the award was predicated upon the achievement of certain financial results that were subsequently the subject of a material restatement, (2) the Board determines that the Executive engaged in fraud or intentional misconduct that was a substantial contributing cause to the need for the restatement, (3) a lower award would have been made to the Executive based upon the restated financial results, and (4) such amount was not otherwise recovered under the Recovery Policy. In each instance, the Company may seek to recover the Executive’s entire gain received by the Executive within the relevant period, plus a reasonable rate of interest.</w:t>
      </w:r>
    </w:p>
    <w:p>
      <w:pPr>
        <w:spacing w:after="0" w:line="175" w:lineRule="exact"/>
        <w:rPr>
          <w:rFonts w:ascii="Times New Roman" w:cs="Times New Roman" w:eastAsia="Times New Roman" w:hAnsi="Times New Roman"/>
          <w:sz w:val="20"/>
          <w:szCs w:val="20"/>
          <w:color w:val="auto"/>
        </w:rPr>
      </w:pPr>
    </w:p>
    <w:p>
      <w:pPr>
        <w:jc w:val="both"/>
        <w:ind w:firstLine="616"/>
        <w:spacing w:after="0" w:line="255" w:lineRule="auto"/>
        <w:tabs>
          <w:tab w:leader="none" w:pos="12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of Stock Options Following Termination. </w:t>
      </w:r>
      <w:r>
        <w:rPr>
          <w:rFonts w:ascii="Times New Roman" w:cs="Times New Roman" w:eastAsia="Times New Roman" w:hAnsi="Times New Roman"/>
          <w:sz w:val="20"/>
          <w:szCs w:val="20"/>
          <w:color w:val="auto"/>
        </w:rPr>
        <w:t>If the Executive's employment terminates, the Executive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estate) may exercise the Executive's right to purchase any vested stock under the stock options granted to the Executive by the Company as provided in the applicable stock option agreement or Company plan. All such purchases must be made by the Executive in accordance with the applicable stock option plans and agreements between the parties.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50" w:right="339" w:bottom="1440" w:gutter="0" w:footer="0" w:header="0"/>
        </w:sectPr>
      </w:pPr>
    </w:p>
    <w:bookmarkStart w:id="49" w:name="page50"/>
    <w:bookmarkEnd w:id="49"/>
    <w:p>
      <w:pPr>
        <w:jc w:val="both"/>
        <w:ind w:firstLine="616"/>
        <w:spacing w:after="0" w:line="252" w:lineRule="auto"/>
        <w:tabs>
          <w:tab w:leader="none" w:pos="121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Successors; Binding Agreement. </w:t>
      </w:r>
      <w:r>
        <w:rPr>
          <w:rFonts w:ascii="Times New Roman" w:cs="Times New Roman" w:eastAsia="Times New Roman" w:hAnsi="Times New Roman"/>
          <w:sz w:val="20"/>
          <w:szCs w:val="20"/>
          <w:color w:val="auto"/>
        </w:rPr>
        <w:t>This Agreement and all rights of the Executive hereunder shall inure to the benefit of and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62" w:lineRule="exact"/>
        <w:rPr>
          <w:rFonts w:ascii="Times New Roman" w:cs="Times New Roman" w:eastAsia="Times New Roman" w:hAnsi="Times New Roman"/>
          <w:sz w:val="20"/>
          <w:szCs w:val="20"/>
          <w:color w:val="auto"/>
        </w:rPr>
      </w:pPr>
    </w:p>
    <w:p>
      <w:pPr>
        <w:jc w:val="both"/>
        <w:ind w:firstLine="616"/>
        <w:spacing w:after="0" w:line="252" w:lineRule="auto"/>
        <w:tabs>
          <w:tab w:leader="none" w:pos="121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Insurance and Indemnity. </w:t>
      </w:r>
      <w:r>
        <w:rPr>
          <w:rFonts w:ascii="Times New Roman" w:cs="Times New Roman" w:eastAsia="Times New Roman" w:hAnsi="Times New Roman"/>
          <w:sz w:val="20"/>
          <w:szCs w:val="20"/>
          <w:color w:val="auto"/>
        </w:rPr>
        <w:t>The Company shall, to the extent permitted by law, include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64" w:lineRule="exact"/>
        <w:rPr>
          <w:rFonts w:ascii="Times New Roman" w:cs="Times New Roman" w:eastAsia="Times New Roman" w:hAnsi="Times New Roman"/>
          <w:sz w:val="20"/>
          <w:szCs w:val="20"/>
          <w:color w:val="auto"/>
        </w:rPr>
      </w:pPr>
    </w:p>
    <w:p>
      <w:pPr>
        <w:jc w:val="both"/>
        <w:ind w:firstLine="616"/>
        <w:spacing w:after="0" w:line="262" w:lineRule="auto"/>
        <w:tabs>
          <w:tab w:leader="none" w:pos="121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For the purposes of this Agreement, notices, demands and all other communications provided for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to have been duly given when delivered or (unless otherwise specified) mailed by United States registered mail, return receipt requested, postage prepaid, addressed as follows:</w:t>
      </w:r>
    </w:p>
    <w:p>
      <w:pPr>
        <w:spacing w:after="0" w:line="1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If to the Executive:</w:t>
      </w:r>
    </w:p>
    <w:p>
      <w:pPr>
        <w:spacing w:after="0" w:line="18" w:lineRule="exact"/>
        <w:rPr>
          <w:sz w:val="20"/>
          <w:szCs w:val="20"/>
          <w:color w:val="auto"/>
        </w:rPr>
      </w:pPr>
    </w:p>
    <w:tbl>
      <w:tblPr>
        <w:tblLayout w:type="fixed"/>
        <w:tblInd w:w="1380" w:type="dxa"/>
        <w:tblCellMar>
          <w:top w:w="0" w:type="dxa"/>
          <w:left w:w="0" w:type="dxa"/>
          <w:bottom w:w="0" w:type="dxa"/>
          <w:right w:w="0" w:type="dxa"/>
        </w:tblCellMar>
      </w:tblPr>
      <w:tr>
        <w:trPr>
          <w:trHeight w:val="231"/>
        </w:trPr>
        <w:tc>
          <w:tcPr>
            <w:tcW w:w="2340" w:type="dxa"/>
            <w:vAlign w:val="bottom"/>
          </w:tcPr>
          <w:p>
            <w:pPr>
              <w:spacing w:after="0"/>
              <w:rPr>
                <w:sz w:val="20"/>
                <w:szCs w:val="20"/>
                <w:color w:val="auto"/>
              </w:rPr>
            </w:pPr>
          </w:p>
        </w:tc>
        <w:tc>
          <w:tcPr>
            <w:tcW w:w="3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5130 Hacienda Drive</w:t>
            </w:r>
          </w:p>
        </w:tc>
      </w:tr>
      <w:tr>
        <w:trPr>
          <w:trHeight w:val="257"/>
        </w:trPr>
        <w:tc>
          <w:tcPr>
            <w:tcW w:w="23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Dublin, CA 94568-7579</w:t>
            </w:r>
          </w:p>
        </w:tc>
      </w:tr>
      <w:tr>
        <w:trPr>
          <w:trHeight w:val="485"/>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If to the Company:</w:t>
            </w: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Ross Stores, Inc.</w:t>
            </w:r>
          </w:p>
        </w:tc>
      </w:tr>
      <w:tr>
        <w:trPr>
          <w:trHeight w:val="243"/>
        </w:trPr>
        <w:tc>
          <w:tcPr>
            <w:tcW w:w="23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5130 Hacienda Drive</w:t>
            </w:r>
          </w:p>
        </w:tc>
      </w:tr>
      <w:tr>
        <w:trPr>
          <w:trHeight w:val="243"/>
        </w:trPr>
        <w:tc>
          <w:tcPr>
            <w:tcW w:w="23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Dublin, CA 94568-7579</w:t>
            </w:r>
          </w:p>
        </w:tc>
      </w:tr>
      <w:tr>
        <w:trPr>
          <w:trHeight w:val="257"/>
        </w:trPr>
        <w:tc>
          <w:tcPr>
            <w:tcW w:w="23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Attention: General Counsel</w:t>
            </w:r>
          </w:p>
        </w:tc>
      </w:tr>
    </w:tbl>
    <w:p>
      <w:pPr>
        <w:spacing w:after="0" w:line="2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or to such other address as any party may have furnished to the other in writing in accordance herewith, except that notices of change of address shall be effective only upon receipt.</w:t>
      </w:r>
    </w:p>
    <w:p>
      <w:pPr>
        <w:spacing w:after="0" w:line="160" w:lineRule="exact"/>
        <w:rPr>
          <w:sz w:val="20"/>
          <w:szCs w:val="20"/>
          <w:color w:val="auto"/>
        </w:rPr>
      </w:pPr>
    </w:p>
    <w:p>
      <w:pPr>
        <w:jc w:val="both"/>
        <w:ind w:firstLine="616"/>
        <w:spacing w:after="0" w:line="265" w:lineRule="auto"/>
        <w:tabs>
          <w:tab w:leader="none" w:pos="121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Complete Agreement; Modification, Waiver; Entire Agreement. </w:t>
      </w:r>
      <w:r>
        <w:rPr>
          <w:rFonts w:ascii="Times New Roman" w:cs="Times New Roman" w:eastAsia="Times New Roman" w:hAnsi="Times New Roman"/>
          <w:sz w:val="19"/>
          <w:szCs w:val="19"/>
          <w:color w:val="auto"/>
        </w:rPr>
        <w:t>This Agreement, along with any compensation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summary, stock option, restricted stock, performance share or other equity compensation award agreements between the parties, represents the complete agreement of the parties with respect to the subject matter hereof and supersedes all 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46" w:right="339" w:bottom="1440" w:gutter="0" w:footer="0" w:header="0"/>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20"/>
          <w:szCs w:val="20"/>
          <w:color w:val="auto"/>
        </w:rPr>
        <w:t>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68" w:lineRule="exact"/>
        <w:rPr>
          <w:sz w:val="20"/>
          <w:szCs w:val="20"/>
          <w:color w:val="auto"/>
        </w:rPr>
      </w:pPr>
    </w:p>
    <w:p>
      <w:pPr>
        <w:jc w:val="both"/>
        <w:ind w:firstLine="616"/>
        <w:spacing w:after="0" w:line="261" w:lineRule="auto"/>
        <w:tabs>
          <w:tab w:leader="none" w:pos="121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Governing Law - Severability. </w:t>
      </w:r>
      <w:r>
        <w:rPr>
          <w:rFonts w:ascii="Times New Roman" w:cs="Times New Roman" w:eastAsia="Times New Roman" w:hAnsi="Times New Roman"/>
          <w:sz w:val="19"/>
          <w:szCs w:val="19"/>
          <w:color w:val="auto"/>
        </w:rPr>
        <w:t>The validity, interpretation, construction, performance, and enforcement of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governed by the laws of the state in which the Executive’s principal place of employment described in Section 3 is located without reference to that state’s choice of law rules. Notwithstanding the foregoing and subject to the provisions of Section 10(f) hereof which entitles the Company to pursue injunctive relief in a court of competent jurisdiction, the Federal Arbitration Act, 9 U.S.C. § 1 et seq. and federal law shall govern all aspects of the agreement between the parties in Section 19 to arbitrate claims arising from or related to this Agreement. If any provision of this Agreement shall be held or deemed to be invalid, illegal, or unenforceable in any jurisdiction, for any reason, such holding shall not affect the validity of the remainder of this Agreement, which shall continue to be binding upon the parties with any such modification and treated as though originally set forth in this Agreement, nor shall such holding have the effect of rendering the provision in question unenforceable in any other jurisdiction or in any other case or of rendering any other provisions herein unenforceable. The parties further agree that any such court or arbitrator is expressly authorized to modify and substitute any such unenforceable provision of this agreement with a valid provision which most closely approximates the intent and the economic effect of the invalid provision and which would be enforceable to the maximum extent permitted in such jurisdiction or in such case and that this Agreement as so modified shall be binding upon and enforceable against each of them. If such provision or provisions are not modified as provided above, the parties agree that they shall negotiate in good faith to modify this Agreement so as to effect the original intent of the parties as closely as possible in an acceptable manner in order that the Agreement is consummated as originally contemplated to the greatest extent possible.</w:t>
      </w:r>
    </w:p>
    <w:p>
      <w:pPr>
        <w:spacing w:after="0" w:line="171" w:lineRule="exact"/>
        <w:rPr>
          <w:rFonts w:ascii="Times New Roman" w:cs="Times New Roman" w:eastAsia="Times New Roman" w:hAnsi="Times New Roman"/>
          <w:sz w:val="19"/>
          <w:szCs w:val="19"/>
          <w:color w:val="auto"/>
        </w:rPr>
      </w:pPr>
    </w:p>
    <w:p>
      <w:pPr>
        <w:jc w:val="both"/>
        <w:ind w:firstLine="616"/>
        <w:spacing w:after="0" w:line="250" w:lineRule="auto"/>
        <w:tabs>
          <w:tab w:leader="none" w:pos="121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Mitigation. </w:t>
      </w:r>
      <w:r>
        <w:rPr>
          <w:rFonts w:ascii="Times New Roman" w:cs="Times New Roman" w:eastAsia="Times New Roman" w:hAnsi="Times New Roman"/>
          <w:sz w:val="20"/>
          <w:szCs w:val="20"/>
          <w:color w:val="auto"/>
        </w:rPr>
        <w:t>In the event the Executive’s employment with the Company terminates for any reason, the Executive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obligated to seek other employment following such termination. However, any amounts due to the Executive under Sections 8(a)(i), 8(a)(ii), 8(a)(vii), 8(e)(i)(a), 8(e)(i)(b), 8(e)(i)(d) or 8(e)(i)(e) (collectively, “</w:t>
      </w:r>
      <w:r>
        <w:rPr>
          <w:rFonts w:ascii="Times New Roman" w:cs="Times New Roman" w:eastAsia="Times New Roman" w:hAnsi="Times New Roman"/>
          <w:sz w:val="20"/>
          <w:szCs w:val="20"/>
          <w:u w:val="single" w:color="auto"/>
          <w:color w:val="auto"/>
        </w:rPr>
        <w:t>Mitigable Severance</w:t>
      </w:r>
      <w:r>
        <w:rPr>
          <w:rFonts w:ascii="Times New Roman" w:cs="Times New Roman" w:eastAsia="Times New Roman" w:hAnsi="Times New Roman"/>
          <w:sz w:val="20"/>
          <w:szCs w:val="20"/>
          <w:color w:val="auto"/>
        </w:rPr>
        <w:t>”) shall be offset by any cash remuneration, health care coverage and/or estate planning reimbursements (collectively, “</w:t>
      </w:r>
      <w:r>
        <w:rPr>
          <w:rFonts w:ascii="Times New Roman" w:cs="Times New Roman" w:eastAsia="Times New Roman" w:hAnsi="Times New Roman"/>
          <w:sz w:val="20"/>
          <w:szCs w:val="20"/>
          <w:u w:val="single" w:color="auto"/>
          <w:color w:val="auto"/>
        </w:rPr>
        <w:t>Mitigable Compensation</w:t>
      </w:r>
      <w:r>
        <w:rPr>
          <w:rFonts w:ascii="Times New Roman" w:cs="Times New Roman" w:eastAsia="Times New Roman" w:hAnsi="Times New Roman"/>
          <w:sz w:val="20"/>
          <w:szCs w:val="20"/>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50" w:right="339" w:bottom="1440" w:gutter="0" w:footer="0" w:header="0"/>
        </w:sectPr>
      </w:pPr>
    </w:p>
    <w:bookmarkStart w:id="51" w:name="page52"/>
    <w:bookmarkEnd w:id="51"/>
    <w:p>
      <w:pPr>
        <w:jc w:val="both"/>
        <w:spacing w:after="0" w:line="260" w:lineRule="auto"/>
        <w:rPr>
          <w:sz w:val="20"/>
          <w:szCs w:val="20"/>
          <w:color w:val="auto"/>
        </w:rPr>
      </w:pPr>
      <w:r>
        <w:rPr>
          <w:rFonts w:ascii="Times New Roman" w:cs="Times New Roman" w:eastAsia="Times New Roman" w:hAnsi="Times New Roman"/>
          <w:sz w:val="20"/>
          <w:szCs w:val="20"/>
          <w:color w:val="auto"/>
        </w:rPr>
        <w:t>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157" w:lineRule="exact"/>
        <w:rPr>
          <w:sz w:val="20"/>
          <w:szCs w:val="20"/>
          <w:color w:val="auto"/>
        </w:rPr>
      </w:pPr>
    </w:p>
    <w:p>
      <w:pPr>
        <w:jc w:val="both"/>
        <w:ind w:firstLine="616"/>
        <w:spacing w:after="0" w:line="252" w:lineRule="auto"/>
        <w:tabs>
          <w:tab w:leader="none" w:pos="121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w:t>
      </w:r>
      <w:r>
        <w:rPr>
          <w:rFonts w:ascii="Times New Roman" w:cs="Times New Roman" w:eastAsia="Times New Roman" w:hAnsi="Times New Roman"/>
          <w:sz w:val="20"/>
          <w:szCs w:val="20"/>
          <w:color w:val="auto"/>
        </w:rPr>
        <w:t>All payments required to be made by the Company hereunder to the Executive or the Executive’s estate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75" w:lineRule="exact"/>
        <w:rPr>
          <w:rFonts w:ascii="Times New Roman" w:cs="Times New Roman" w:eastAsia="Times New Roman" w:hAnsi="Times New Roman"/>
          <w:sz w:val="20"/>
          <w:szCs w:val="20"/>
          <w:color w:val="auto"/>
        </w:rPr>
      </w:pPr>
    </w:p>
    <w:p>
      <w:pPr>
        <w:jc w:val="both"/>
        <w:ind w:firstLine="616"/>
        <w:spacing w:after="0" w:line="261" w:lineRule="auto"/>
        <w:tabs>
          <w:tab w:leader="none" w:pos="121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Arbitration. </w:t>
      </w:r>
      <w:r>
        <w:rPr>
          <w:rFonts w:ascii="Times New Roman" w:cs="Times New Roman" w:eastAsia="Times New Roman" w:hAnsi="Times New Roman"/>
          <w:sz w:val="19"/>
          <w:szCs w:val="19"/>
          <w:color w:val="auto"/>
        </w:rPr>
        <w:t>Except as otherwise provided by applicable law or as otherwise provided for in this Agreement, the Company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Executive shall resolve all disputes or claims relating to or arising out of the parties' employment relationship, separation or termination of employment,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Times New Roman" w:cs="Times New Roman" w:eastAsia="Times New Roman" w:hAnsi="Times New Roman"/>
          <w:sz w:val="19"/>
          <w:szCs w:val="19"/>
          <w:u w:val="single" w:color="auto"/>
          <w:color w:val="auto"/>
        </w:rPr>
        <w:t>Arbitration Agreement</w:t>
      </w:r>
      <w:r>
        <w:rPr>
          <w:rFonts w:ascii="Times New Roman" w:cs="Times New Roman" w:eastAsia="Times New Roman" w:hAnsi="Times New Roman"/>
          <w:sz w:val="19"/>
          <w:szCs w:val="19"/>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The parties are expressly waiving all rights to have their disputes heard or decided by a jury or in a court trial. And to the extent permitted by law, the Company and the Executive agree that each may file claims against the other only in their individual capacities, and may not file claims as a named plaintiff, or participate as a class member, in any class or collective action against the other. For the avoidance of doubt, in the event of a breach or threatened breach by the Executive of Sections 5 or 9 of this Agreement, nothing in this arbitration provision or the Arbitration Agreement shall be construed to prevent the Company from seeking interim or temporary injunctive or equitable relief from a court of competent jurisdiction pending arbitration, and, as permitted by law, without the necessity of showing actual damages or the necessity of posting bond or other security. This provision fully incorporates the Arbitration Agreement provided, however, that in the event of any conflict between this provision and the Arbitration Agreement, this provision shall govern.</w:t>
      </w:r>
    </w:p>
    <w:p>
      <w:pPr>
        <w:spacing w:after="0" w:line="160" w:lineRule="exact"/>
        <w:rPr>
          <w:sz w:val="20"/>
          <w:szCs w:val="20"/>
          <w:color w:val="auto"/>
        </w:rPr>
      </w:pPr>
    </w:p>
    <w:p>
      <w:pPr>
        <w:jc w:val="both"/>
        <w:ind w:firstLine="614"/>
        <w:spacing w:after="0" w:line="251" w:lineRule="auto"/>
        <w:rPr>
          <w:sz w:val="20"/>
          <w:szCs w:val="20"/>
          <w:color w:val="auto"/>
        </w:rPr>
      </w:pPr>
      <w:r>
        <w:rPr>
          <w:rFonts w:ascii="Times New Roman" w:cs="Times New Roman" w:eastAsia="Times New Roman" w:hAnsi="Times New Roman"/>
          <w:sz w:val="20"/>
          <w:szCs w:val="20"/>
          <w:color w:val="auto"/>
        </w:rPr>
        <w:t>If there is termination of the Executive’s employment with the Company followed by a dispute as to whether the Executive is entitled to the benefits provided under this Agreement, then, 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5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withheld during the period of the dispute plus interest at the rate provided in Section 1274(d) of the Code.</w:t>
      </w:r>
    </w:p>
    <w:p>
      <w:pPr>
        <w:spacing w:after="0" w:line="201" w:lineRule="exact"/>
        <w:rPr>
          <w:sz w:val="20"/>
          <w:szCs w:val="20"/>
          <w:color w:val="auto"/>
        </w:rPr>
      </w:pPr>
    </w:p>
    <w:p>
      <w:pPr>
        <w:ind w:firstLine="616"/>
        <w:spacing w:after="0" w:line="285" w:lineRule="auto"/>
        <w:tabs>
          <w:tab w:leader="none" w:pos="12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Attorney’s Fees. </w:t>
      </w:r>
      <w:r>
        <w:rPr>
          <w:rFonts w:ascii="Times New Roman" w:cs="Times New Roman" w:eastAsia="Times New Roman" w:hAnsi="Times New Roman"/>
          <w:sz w:val="20"/>
          <w:szCs w:val="20"/>
          <w:color w:val="auto"/>
        </w:rPr>
        <w:t>Except as otherwise provided herein or in the Arbitration Agreement, if applicable, each party shall bear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 attorney’s fees and costs incurred in any action or dispute arising out of this Agreement.</w:t>
      </w:r>
    </w:p>
    <w:p>
      <w:pPr>
        <w:spacing w:after="0" w:line="131" w:lineRule="exact"/>
        <w:rPr>
          <w:rFonts w:ascii="Times New Roman" w:cs="Times New Roman" w:eastAsia="Times New Roman" w:hAnsi="Times New Roman"/>
          <w:sz w:val="20"/>
          <w:szCs w:val="20"/>
          <w:color w:val="auto"/>
        </w:rPr>
      </w:pPr>
    </w:p>
    <w:p>
      <w:pPr>
        <w:jc w:val="both"/>
        <w:ind w:firstLine="616"/>
        <w:spacing w:after="0" w:line="254" w:lineRule="auto"/>
        <w:tabs>
          <w:tab w:leader="none" w:pos="12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No right or interest to, or in, any payments shall be assignable by the Executive; provided, however,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164" w:lineRule="exact"/>
        <w:rPr>
          <w:rFonts w:ascii="Times New Roman" w:cs="Times New Roman" w:eastAsia="Times New Roman" w:hAnsi="Times New Roman"/>
          <w:sz w:val="20"/>
          <w:szCs w:val="20"/>
          <w:color w:val="auto"/>
        </w:rPr>
      </w:pPr>
    </w:p>
    <w:p>
      <w:pPr>
        <w:jc w:val="both"/>
        <w:ind w:firstLine="616"/>
        <w:spacing w:after="0" w:line="252" w:lineRule="auto"/>
        <w:tabs>
          <w:tab w:leader="none" w:pos="12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this Agreement to the contrary, the provision,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manner of payment or distribution of all compensation and benefits provided by this Agreement that constitute nonqualified deferred compensation subject to and not exempted from the requirements of Code Section 409A (“</w:t>
      </w:r>
      <w:r>
        <w:rPr>
          <w:rFonts w:ascii="Times New Roman" w:cs="Times New Roman" w:eastAsia="Times New Roman" w:hAnsi="Times New Roman"/>
          <w:sz w:val="20"/>
          <w:szCs w:val="20"/>
          <w:u w:val="single" w:color="auto"/>
          <w:color w:val="auto"/>
        </w:rPr>
        <w:t>Section 409A Deferred Compensation</w:t>
      </w:r>
      <w:r>
        <w:rPr>
          <w:rFonts w:ascii="Times New Roman" w:cs="Times New Roman" w:eastAsia="Times New Roman" w:hAnsi="Times New Roman"/>
          <w:sz w:val="20"/>
          <w:szCs w:val="20"/>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including the following:</w:t>
      </w:r>
    </w:p>
    <w:p>
      <w:pPr>
        <w:spacing w:after="0" w:line="162" w:lineRule="exact"/>
        <w:rPr>
          <w:rFonts w:ascii="Times New Roman" w:cs="Times New Roman" w:eastAsia="Times New Roman" w:hAnsi="Times New Roman"/>
          <w:sz w:val="20"/>
          <w:szCs w:val="20"/>
          <w:color w:val="auto"/>
        </w:rPr>
      </w:pPr>
    </w:p>
    <w:p>
      <w:pPr>
        <w:jc w:val="both"/>
        <w:ind w:firstLine="1230"/>
        <w:spacing w:after="0" w:line="259" w:lineRule="auto"/>
        <w:tabs>
          <w:tab w:leader="none" w:pos="184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Payments and benefits constituting Section 409A Deferred Compensation otherwise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provided pursuant to Section 8 upon the Executive’s termination of employment shall be paid or provided only at the time of a termination of the Executive’s employment that constitutes a Separation from Service. For the purposes of this Agreement,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is a separation from service within the meaning of Treasury Regulation Section 1.409A-1(h).</w:t>
      </w:r>
    </w:p>
    <w:p>
      <w:pPr>
        <w:spacing w:after="0" w:line="158" w:lineRule="exact"/>
        <w:rPr>
          <w:rFonts w:ascii="Times New Roman" w:cs="Times New Roman" w:eastAsia="Times New Roman" w:hAnsi="Times New Roman"/>
          <w:sz w:val="20"/>
          <w:szCs w:val="20"/>
          <w:color w:val="auto"/>
        </w:rPr>
      </w:pPr>
    </w:p>
    <w:p>
      <w:pPr>
        <w:jc w:val="both"/>
        <w:ind w:firstLine="1230"/>
        <w:spacing w:after="0" w:line="250" w:lineRule="auto"/>
        <w:tabs>
          <w:tab w:leader="none" w:pos="18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Six-Month Delay Applicable to Specified Employees. </w:t>
      </w:r>
      <w:r>
        <w:rPr>
          <w:rFonts w:ascii="Times New Roman" w:cs="Times New Roman" w:eastAsia="Times New Roman" w:hAnsi="Times New Roman"/>
          <w:sz w:val="20"/>
          <w:szCs w:val="20"/>
          <w:color w:val="auto"/>
        </w:rPr>
        <w:t>If, at the time of a Separation from Service of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is a “specified employee” within the meaning of Section 409A(a)(2)(B)(i) (a “</w:t>
      </w:r>
      <w:r>
        <w:rPr>
          <w:rFonts w:ascii="Times New Roman" w:cs="Times New Roman" w:eastAsia="Times New Roman" w:hAnsi="Times New Roman"/>
          <w:sz w:val="20"/>
          <w:szCs w:val="20"/>
          <w:u w:val="single" w:color="auto"/>
          <w:color w:val="auto"/>
        </w:rPr>
        <w:t>Specified Employee</w:t>
      </w:r>
      <w:r>
        <w:rPr>
          <w:rFonts w:ascii="Times New Roman" w:cs="Times New Roman" w:eastAsia="Times New Roman" w:hAnsi="Times New Roman"/>
          <w:sz w:val="20"/>
          <w:szCs w:val="20"/>
          <w:color w:val="auto"/>
        </w:rPr>
        <w:t>”), then any payments and benefits 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w:t>
      </w:r>
      <w:r>
        <w:rPr>
          <w:rFonts w:ascii="Times New Roman" w:cs="Times New Roman" w:eastAsia="Times New Roman" w:hAnsi="Times New Roman"/>
          <w:sz w:val="20"/>
          <w:szCs w:val="20"/>
          <w:u w:val="single" w:color="auto"/>
          <w:color w:val="auto"/>
        </w:rPr>
        <w:t>Delayed Payment Date</w:t>
      </w:r>
      <w:r>
        <w:rPr>
          <w:rFonts w:ascii="Times New Roman" w:cs="Times New Roman" w:eastAsia="Times New Roman" w:hAnsi="Times New Roman"/>
          <w:sz w:val="20"/>
          <w:szCs w:val="20"/>
          <w:color w:val="auto"/>
        </w:rPr>
        <w:t>”), or (ii) the date or dates on which such Section 409A Deferred Compensation would otherwise be paid or provided in accordance with Section 8. All such amounts that would, but for this Section 22(b), become payable prior to the Delayed Payment Date shall be accumulated and paid on the Delayed Payment Date.</w:t>
      </w:r>
    </w:p>
    <w:p>
      <w:pPr>
        <w:spacing w:after="0" w:line="177"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and Estate Planning Benefits. </w:t>
      </w:r>
      <w:r>
        <w:rPr>
          <w:rFonts w:ascii="Times New Roman" w:cs="Times New Roman" w:eastAsia="Times New Roman" w:hAnsi="Times New Roman"/>
          <w:sz w:val="20"/>
          <w:szCs w:val="20"/>
          <w:color w:val="auto"/>
        </w:rPr>
        <w:t>In the event that all or any of the health care or estate planning benefits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provided pursuant to Sections 8(a)(vii); 8(e)(i)(d) or 8(e)(i)(e) as a result of a Participant’s Separation from Service constitute Section 409A Deferred Compensation, the Company shall provide for such benefits constituting Section 409A Deferred Compensation in a manner that complies with Section 409A. To the extent necessary to comply with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50" w:right="3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0"/>
          <w:szCs w:val="20"/>
          <w:color w:val="auto"/>
        </w:rPr>
        <w:t>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 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172" w:lineRule="exact"/>
        <w:rPr>
          <w:sz w:val="20"/>
          <w:szCs w:val="20"/>
          <w:color w:val="auto"/>
        </w:rPr>
      </w:pPr>
    </w:p>
    <w:p>
      <w:pPr>
        <w:jc w:val="both"/>
        <w:ind w:firstLine="1230"/>
        <w:spacing w:after="0" w:line="254" w:lineRule="auto"/>
        <w:tabs>
          <w:tab w:leader="none" w:pos="18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Stock-Based Awards. </w:t>
      </w:r>
      <w:r>
        <w:rPr>
          <w:rFonts w:ascii="Times New Roman" w:cs="Times New Roman" w:eastAsia="Times New Roman" w:hAnsi="Times New Roman"/>
          <w:sz w:val="20"/>
          <w:szCs w:val="20"/>
          <w:color w:val="auto"/>
        </w:rPr>
        <w:t>The vesting of any stock-based compensation awards which constitute Section 409A 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 payable upon a Change in Control in accordance with Section 8(e) shall not be subject to this Section 22(d).</w:t>
      </w:r>
    </w:p>
    <w:p>
      <w:pPr>
        <w:spacing w:after="0" w:line="16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Notwithstanding any provision of this Agreement to the contrary, to the extent that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64"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3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Installments. </w:t>
      </w:r>
      <w:r>
        <w:rPr>
          <w:rFonts w:ascii="Times New Roman" w:cs="Times New Roman" w:eastAsia="Times New Roman" w:hAnsi="Times New Roman"/>
          <w:sz w:val="20"/>
          <w:szCs w:val="20"/>
          <w:color w:val="auto"/>
        </w:rPr>
        <w:t>The Executive’s right to receive any installment payments payable hereunder shall be treated as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a series of separate payments and, accordingly, each such installment payment shall at all times be considered a separate and distinct payment for purposes of Section 409A.</w:t>
      </w:r>
    </w:p>
    <w:p>
      <w:pPr>
        <w:spacing w:after="0" w:line="15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Reimbursements. </w:t>
      </w:r>
      <w:r>
        <w:rPr>
          <w:rFonts w:ascii="Times New Roman" w:cs="Times New Roman" w:eastAsia="Times New Roman" w:hAnsi="Times New Roman"/>
          <w:sz w:val="20"/>
          <w:szCs w:val="20"/>
          <w:color w:val="auto"/>
        </w:rPr>
        <w:t>To the extent that any reimbursements payable to the Executive pursuant to this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of Section 409A of the Code, such reimbursements shall be paid to the Executive no later than December 31 of the year following the year in which the cost was incurred; the amount of expenses reimbursed in one year shall not affect the amount eligible for reimbursement in any subsequent year; and the Executive’s right to reimbursement under this Agreement will not be subject to liquidation or exchange for another benefit.</w:t>
      </w:r>
    </w:p>
    <w:p>
      <w:pPr>
        <w:spacing w:after="0" w:line="164"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Rights of the Company; Release of Liability. </w:t>
      </w:r>
      <w:r>
        <w:rPr>
          <w:rFonts w:ascii="Times New Roman" w:cs="Times New Roman" w:eastAsia="Times New Roman" w:hAnsi="Times New Roman"/>
          <w:sz w:val="20"/>
          <w:szCs w:val="20"/>
          <w:color w:val="auto"/>
        </w:rPr>
        <w:t>It is the mutual intention of the Executive and the Company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50" w:right="339" w:bottom="1440" w:gutter="0" w:footer="0" w:header="0"/>
        </w:sectPr>
      </w:pPr>
    </w:p>
    <w:bookmarkStart w:id="54" w:name="page55"/>
    <w:bookmarkEnd w:id="54"/>
    <w:p>
      <w:pPr>
        <w:jc w:val="both"/>
        <w:spacing w:after="0" w:line="262" w:lineRule="auto"/>
        <w:rPr>
          <w:sz w:val="20"/>
          <w:szCs w:val="20"/>
          <w:color w:val="auto"/>
        </w:rPr>
      </w:pPr>
      <w:r>
        <w:rPr>
          <w:rFonts w:ascii="Times New Roman" w:cs="Times New Roman" w:eastAsia="Times New Roman" w:hAnsi="Times New Roman"/>
          <w:sz w:val="19"/>
          <w:szCs w:val="19"/>
          <w:color w:val="auto"/>
        </w:rPr>
        <w:t>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 which payments would otherwise be made pursuant to this Agreement and (ii) 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61" w:lineRule="exact"/>
        <w:rPr>
          <w:sz w:val="20"/>
          <w:szCs w:val="20"/>
          <w:color w:val="auto"/>
        </w:rPr>
      </w:pPr>
    </w:p>
    <w:p>
      <w:pPr>
        <w:jc w:val="both"/>
        <w:ind w:firstLine="616"/>
        <w:spacing w:after="0" w:line="249" w:lineRule="auto"/>
        <w:tabs>
          <w:tab w:leader="none" w:pos="121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Future Equity Compensation. </w:t>
      </w:r>
      <w:r>
        <w:rPr>
          <w:rFonts w:ascii="Times New Roman" w:cs="Times New Roman" w:eastAsia="Times New Roman" w:hAnsi="Times New Roman"/>
          <w:sz w:val="20"/>
          <w:szCs w:val="20"/>
          <w:color w:val="auto"/>
        </w:rPr>
        <w:t>The Executive understands and acknowledges that all awards, if any, of stock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performance shares and other forms of equity compensation by the Company are made at the sole discretion of the Board or such other 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 (b) any such award which is nevertheless granted to the Executive after the intended commencement of the Initial Term or any Extension thereof for which the Executive has failed to sign such Agreement or applicable Extension amendment shall not vest unless and until the Executive has executed the Agreement or applicable Extension amendment, notwithstanding the provisions of any agreement evidencing such award to the contrary.</w:t>
      </w:r>
    </w:p>
    <w:p>
      <w:pPr>
        <w:spacing w:after="0" w:line="168"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Counsel. </w:t>
      </w:r>
      <w:r>
        <w:rPr>
          <w:rFonts w:ascii="Times New Roman" w:cs="Times New Roman" w:eastAsia="Times New Roman" w:hAnsi="Times New Roman"/>
          <w:sz w:val="20"/>
          <w:szCs w:val="20"/>
          <w:color w:val="auto"/>
        </w:rPr>
        <w:t>The Executive has been advised of the Executive’s right to consult with counsel prior to executing this Agreement.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50" w:right="339" w:bottom="1440" w:gutter="0" w:footer="0" w:header="0"/>
        </w:sectPr>
      </w:pPr>
    </w:p>
    <w:bookmarkStart w:id="55" w:name="page56"/>
    <w:bookmarkEnd w:id="55"/>
    <w:p>
      <w:pPr>
        <w:spacing w:after="0" w:line="25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Executive Employment Agreement effective as of the date and year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written.</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20"/>
          <w:szCs w:val="20"/>
          <w:b w:val="1"/>
          <w:bCs w:val="1"/>
          <w:color w:val="auto"/>
        </w:rPr>
        <w:t>Ross Stores, Inc. and Subsidiaries</w:t>
      </w:r>
      <w:r>
        <w:rPr>
          <w:sz w:val="20"/>
          <w:szCs w:val="20"/>
          <w:color w:val="auto"/>
        </w:rPr>
        <w:tab/>
      </w:r>
      <w:r>
        <w:rPr>
          <w:rFonts w:ascii="Times New Roman" w:cs="Times New Roman" w:eastAsia="Times New Roman" w:hAnsi="Times New Roman"/>
          <w:sz w:val="19"/>
          <w:szCs w:val="19"/>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3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James G.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11430</wp:posOffset>
            </wp:positionV>
            <wp:extent cx="36791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2540</wp:posOffset>
            </wp:positionV>
            <wp:extent cx="3679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Exhibit A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SEPARATION AGREEMENT AND GENERAL RELEASE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Confidential Separation Agreement and General Release (“Agreement”) is entered into by and between ___________ (“Executive”) and</w:t>
      </w:r>
    </w:p>
    <w:p>
      <w:pPr>
        <w:spacing w:after="0" w:line="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Ross Stores, Inc. and its subsidiaries (collectively “Ross” or the “Company”). In consideration for the mutual covenants and undertakings set forth below, Executive and Ross (collectively referred to as the “Parties”) knowingly and voluntarily agree as follows:</w:t>
      </w:r>
    </w:p>
    <w:p>
      <w:pPr>
        <w:spacing w:after="0" w:line="175" w:lineRule="exact"/>
        <w:rPr>
          <w:sz w:val="20"/>
          <w:szCs w:val="20"/>
          <w:color w:val="auto"/>
        </w:rPr>
      </w:pPr>
    </w:p>
    <w:p>
      <w:pPr>
        <w:ind w:left="600" w:hanging="598"/>
        <w:spacing w:after="0"/>
        <w:tabs>
          <w:tab w:leader="none" w:pos="6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w:t>
      </w:r>
      <w:r>
        <w:rPr>
          <w:rFonts w:ascii="Times New Roman" w:cs="Times New Roman" w:eastAsia="Times New Roman" w:hAnsi="Times New Roman"/>
          <w:sz w:val="20"/>
          <w:szCs w:val="20"/>
          <w:color w:val="auto"/>
        </w:rPr>
        <w:t>Executive’s employment with Ross terminates or terminated effective ______________ (the “Separation Date”).</w:t>
      </w:r>
    </w:p>
    <w:p>
      <w:pPr>
        <w:spacing w:after="0" w:line="204" w:lineRule="exact"/>
        <w:rPr>
          <w:rFonts w:ascii="Times New Roman" w:cs="Times New Roman" w:eastAsia="Times New Roman" w:hAnsi="Times New Roman"/>
          <w:sz w:val="20"/>
          <w:szCs w:val="20"/>
          <w:color w:val="auto"/>
        </w:rPr>
      </w:pPr>
    </w:p>
    <w:p>
      <w:pPr>
        <w:jc w:val="both"/>
        <w:ind w:left="620" w:hanging="618"/>
        <w:spacing w:after="0" w:line="262" w:lineRule="auto"/>
        <w:tabs>
          <w:tab w:leader="none" w:pos="61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Verification of Employment. </w:t>
      </w:r>
      <w:r>
        <w:rPr>
          <w:rFonts w:ascii="Times New Roman" w:cs="Times New Roman" w:eastAsia="Times New Roman" w:hAnsi="Times New Roman"/>
          <w:sz w:val="20"/>
          <w:szCs w:val="20"/>
          <w:color w:val="auto"/>
        </w:rPr>
        <w:t>Executive agrees to refer prospective employers or others seeking verification of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to the Company’s third party provider, The Work Number (1-800-367-5690 or http://www.theworknumber.com). The Work Number will verify Executive’s date of employment and job title only.</w:t>
      </w:r>
    </w:p>
    <w:p>
      <w:pPr>
        <w:spacing w:after="0" w:line="154"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Compensation and Benefits. </w:t>
      </w:r>
      <w:r>
        <w:rPr>
          <w:rFonts w:ascii="Times New Roman" w:cs="Times New Roman" w:eastAsia="Times New Roman" w:hAnsi="Times New Roman"/>
          <w:sz w:val="19"/>
          <w:szCs w:val="19"/>
          <w:color w:val="auto"/>
        </w:rPr>
        <w:t>Ross shall pay and provide Executive the compensation and benefits set forth in Sections 8(a)(i) through</w:t>
      </w:r>
    </w:p>
    <w:p>
      <w:pPr>
        <w:spacing w:after="0" w:line="42" w:lineRule="exact"/>
        <w:rPr>
          <w:rFonts w:ascii="Times New Roman" w:cs="Times New Roman" w:eastAsia="Times New Roman" w:hAnsi="Times New Roman"/>
          <w:sz w:val="19"/>
          <w:szCs w:val="19"/>
          <w:color w:val="auto"/>
        </w:rPr>
      </w:pPr>
    </w:p>
    <w:p>
      <w:pPr>
        <w:ind w:left="620" w:hanging="4"/>
        <w:spacing w:after="0" w:line="253" w:lineRule="auto"/>
        <w:tabs>
          <w:tab w:leader="none" w:pos="102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Executive Employment Agreement, dated ____________(“Executive Agreement”) in accordance with the terms of those Sections and subject to the provisions in Section 17 of the Executive Agreement regarding mitigation.</w:t>
      </w:r>
    </w:p>
    <w:p>
      <w:pPr>
        <w:spacing w:after="0" w:line="162" w:lineRule="exact"/>
        <w:rPr>
          <w:rFonts w:ascii="Times New Roman" w:cs="Times New Roman" w:eastAsia="Times New Roman" w:hAnsi="Times New Roman"/>
          <w:sz w:val="20"/>
          <w:szCs w:val="20"/>
          <w:color w:val="auto"/>
        </w:rPr>
      </w:pPr>
    </w:p>
    <w:p>
      <w:pPr>
        <w:jc w:val="both"/>
        <w:ind w:left="620" w:hanging="618"/>
        <w:spacing w:after="0" w:line="252" w:lineRule="auto"/>
        <w:tabs>
          <w:tab w:leader="none" w:pos="61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Release. </w:t>
      </w:r>
      <w:r>
        <w:rPr>
          <w:rFonts w:ascii="Times New Roman" w:cs="Times New Roman" w:eastAsia="Times New Roman" w:hAnsi="Times New Roman"/>
          <w:sz w:val="20"/>
          <w:szCs w:val="20"/>
          <w:color w:val="auto"/>
        </w:rPr>
        <w:t>In consideration for Ross’ promises herein, Executive knowingly and voluntarily releases and forever discharges Ross,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parent corporations, affiliates, subsidiaries, divisions, successors and assignees, as well as the current and former employees, attorneys, officers, directors and agents thereof of each (collectively referred to throughout the remainder of this Agreement as “Releasees”),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68" w:lineRule="exact"/>
        <w:rPr>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VII of the Civil Rights Act of 1964, as amended</w:t>
      </w:r>
    </w:p>
    <w:p>
      <w:pPr>
        <w:spacing w:after="0" w:line="22"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National Labor Relations Act,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Civil Rights Act of 1991</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1981 through 1988 of Title 42 of the United States Code,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Retirement Income Security Act of 1974,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Immigration Reform and Control Act, as amended</w:t>
      </w: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of 1990,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 Discrimination in Employment Act of 1967,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Workers Adjustment and Retraining Notification Act,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Occupational Safety and Health Act,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Sarbanes-Oxley Act of 2002</w:t>
      </w: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Equal Pay Act of 1963</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Family Rights Act - Cal. Govt. Code § 12945.2 et 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457835</wp:posOffset>
            </wp:positionV>
            <wp:extent cx="1527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457835</wp:posOffset>
            </wp:positionV>
            <wp:extent cx="1518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3" w:right="339" w:bottom="1440" w:gutter="0" w:footer="0" w:header="0"/>
        </w:sectPr>
      </w:pPr>
    </w:p>
    <w:bookmarkStart w:id="57" w:name="page58"/>
    <w:bookmarkEnd w:id="57"/>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Fair Employment and Housing Act - Cal. Gov't Code § 12900 et seq.</w:t>
      </w:r>
    </w:p>
    <w:p>
      <w:pPr>
        <w:spacing w:after="0" w:line="22"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Provisions Regarding Retaliation/Discrimination for Filing a Workers’</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Claim - Cal. Lab. Code §132a (1) to (4)</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Provision Regarding Representations and Relocation of Employment (Cal. Lab. Code §970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Unruh Civil Rights Act - Civ. Code § 51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Sexual Orientation Bias Law - Cal. Lab. Code §1101 et seq.</w:t>
      </w: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AIDS Testing and Confidentiality Law - Cal. Health &amp; Safety Code §199.20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Confidentiality of Medical Information - Cal. Civ. Code §56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Smokers' Rights Law - Cal. Lab. Code §96</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Parental Leave Law - Cal. Lab. Code §230.7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Apprenticeship Program Bias Law - Cal. Lab. Code §3070 et seq.</w:t>
      </w: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Equal Pay Law - Cal. Lab. Code §1197.5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Whistleblower Protection Law - Cal. Lab. Code § 1102-5(a) to (c)</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Military Personnel Bias Law - Cal. Mil. &amp; Vet. Code §394 et seq.</w:t>
      </w: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Family and Medical Leave - Cal. Lab. Code §233</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Parental Leave for School Visits Law - Cal. Lab. Code §230.7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Electronic Monitoring of Employees - Cal. Lab. Code §435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Cal/OSHA law,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Consumer Reports: Discrimination Law - Cal. Civ. Code §1786.10 et seq.</w:t>
      </w: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Political Activities of Employees Act - Cal. Lab. Code §1101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Domestic Violence Victim Employment Leave Act - Cal. Lab. Code §230.1</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Voting Leave Law - Cal. Elec. Code §14350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Court Leave Law - Cal. Lab. Code §230</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Consumer Reports: Discrimination Law - Cal. Civ. Code §1786.10 et seq.</w:t>
      </w: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Political Activities of Employees Act - Cal. Lab. Code §1101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Domestic Violence Victim Employment Leave Act - Cal. Lab. Code §230.1</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Labor Code §§ 2698 and 2699</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as amended and any other federal, state or local civil or human rights law or any other local, state or federal law, regulation or ordinance</w:t>
      </w:r>
    </w:p>
    <w:p>
      <w:pPr>
        <w:spacing w:after="0" w:line="20" w:lineRule="exact"/>
        <w:rPr>
          <w:rFonts w:ascii="Times New Roman" w:cs="Times New Roman" w:eastAsia="Times New Roman" w:hAnsi="Times New Roman"/>
          <w:sz w:val="19"/>
          <w:szCs w:val="19"/>
          <w:color w:val="auto"/>
        </w:rPr>
      </w:pP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public policy, contract, tort, or common law, or</w:t>
      </w:r>
    </w:p>
    <w:p>
      <w:pPr>
        <w:ind w:left="260" w:hanging="258"/>
        <w:spacing w:after="0"/>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costs, fees, or other expenses including attorneys’ fees incurred in these matters</w:t>
      </w:r>
    </w:p>
    <w:p>
      <w:pPr>
        <w:spacing w:after="0" w:line="221"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rFonts w:ascii="Times New Roman" w:cs="Times New Roman" w:eastAsia="Times New Roman" w:hAnsi="Times New Roman"/>
          <w:sz w:val="20"/>
          <w:szCs w:val="20"/>
          <w:b w:val="1"/>
          <w:bCs w:val="1"/>
          <w:color w:val="auto"/>
        </w:rPr>
        <w:t>A general release does not extend to claims that the creditor or releasing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 does not know 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0"/>
          <w:szCs w:val="20"/>
          <w:color w:val="auto"/>
        </w:rPr>
        <w:t>." You hereby expressly waive and relinquish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rights and benefits under that section and any law of any jurisdiction of similar effect with respect to the release of any unknown or unsuspected claims you may have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591185</wp:posOffset>
            </wp:positionV>
            <wp:extent cx="1527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591185</wp:posOffset>
            </wp:positionV>
            <wp:extent cx="1518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50" w:right="339" w:bottom="1440" w:gutter="0" w:footer="0" w:header="0"/>
        </w:sectPr>
      </w:pPr>
    </w:p>
    <w:bookmarkStart w:id="58" w:name="page59"/>
    <w:bookmarkEnd w:id="58"/>
    <w:p>
      <w:pPr>
        <w:ind w:left="620" w:hanging="618"/>
        <w:spacing w:after="0" w:line="272" w:lineRule="auto"/>
        <w:tabs>
          <w:tab w:leader="none" w:pos="61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Filed Claims. </w:t>
      </w:r>
      <w:r>
        <w:rPr>
          <w:rFonts w:ascii="Times New Roman" w:cs="Times New Roman" w:eastAsia="Times New Roman" w:hAnsi="Times New Roman"/>
          <w:sz w:val="20"/>
          <w:szCs w:val="20"/>
          <w:color w:val="auto"/>
        </w:rPr>
        <w:t>Executive represents that, prior to Executive’s execution of this Agreement, Executive did not file any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or lawsuit against any of the Releasees with any court or regulatory agency or in any arbitral forum.</w:t>
      </w:r>
    </w:p>
    <w:p>
      <w:pPr>
        <w:spacing w:after="0" w:line="156" w:lineRule="exact"/>
        <w:rPr>
          <w:rFonts w:ascii="Times New Roman" w:cs="Times New Roman" w:eastAsia="Times New Roman" w:hAnsi="Times New Roman"/>
          <w:sz w:val="20"/>
          <w:szCs w:val="20"/>
          <w:color w:val="auto"/>
        </w:rPr>
      </w:pPr>
    </w:p>
    <w:p>
      <w:pPr>
        <w:jc w:val="both"/>
        <w:ind w:left="620" w:hanging="618"/>
        <w:spacing w:after="0" w:line="261" w:lineRule="auto"/>
        <w:tabs>
          <w:tab w:leader="none" w:pos="61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Participation/Communication Rights and Obligations. </w:t>
      </w:r>
      <w:r>
        <w:rPr>
          <w:rFonts w:ascii="Times New Roman" w:cs="Times New Roman" w:eastAsia="Times New Roman" w:hAnsi="Times New Roman"/>
          <w:sz w:val="19"/>
          <w:szCs w:val="19"/>
          <w:color w:val="auto"/>
        </w:rPr>
        <w:t>Nothing in this Agreement precludes Executive from filing a charge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To the fullest extent permitted by law, Executive hereby agrees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6" w:lineRule="exact"/>
        <w:rPr>
          <w:rFonts w:ascii="Times New Roman" w:cs="Times New Roman" w:eastAsia="Times New Roman" w:hAnsi="Times New Roman"/>
          <w:sz w:val="19"/>
          <w:szCs w:val="19"/>
          <w:color w:val="auto"/>
        </w:rPr>
      </w:pPr>
    </w:p>
    <w:p>
      <w:pPr>
        <w:jc w:val="both"/>
        <w:ind w:left="620" w:hanging="618"/>
        <w:spacing w:after="0" w:line="259" w:lineRule="auto"/>
        <w:tabs>
          <w:tab w:leader="none" w:pos="61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Other Compensation or Benefits. </w:t>
      </w:r>
      <w:r>
        <w:rPr>
          <w:rFonts w:ascii="Times New Roman" w:cs="Times New Roman" w:eastAsia="Times New Roman" w:hAnsi="Times New Roman"/>
          <w:sz w:val="20"/>
          <w:szCs w:val="20"/>
          <w:color w:val="auto"/>
        </w:rPr>
        <w:t>Executive affirms that Executive has been paid and/or has received all leave (paid or unpaid),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158" w:lineRule="exact"/>
        <w:rPr>
          <w:rFonts w:ascii="Times New Roman" w:cs="Times New Roman" w:eastAsia="Times New Roman" w:hAnsi="Times New Roman"/>
          <w:sz w:val="20"/>
          <w:szCs w:val="20"/>
          <w:color w:val="auto"/>
        </w:rPr>
      </w:pPr>
    </w:p>
    <w:p>
      <w:pPr>
        <w:jc w:val="both"/>
        <w:ind w:left="620" w:hanging="618"/>
        <w:spacing w:after="0" w:line="250" w:lineRule="auto"/>
        <w:tabs>
          <w:tab w:leader="none" w:pos="61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Acknowledgements Regarding Employment Matters. </w:t>
      </w:r>
      <w:r>
        <w:rPr>
          <w:rFonts w:ascii="Times New Roman" w:cs="Times New Roman" w:eastAsia="Times New Roman" w:hAnsi="Times New Roman"/>
          <w:sz w:val="20"/>
          <w:szCs w:val="20"/>
          <w:color w:val="auto"/>
        </w:rPr>
        <w:t>The Executive affirms that Executive has no known workplace injuries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occupational diseases and has been provided and/or has 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581660</wp:posOffset>
            </wp:positionV>
            <wp:extent cx="1527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581660</wp:posOffset>
            </wp:positionV>
            <wp:extent cx="15189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46" w:right="339" w:bottom="1440" w:gutter="0" w:footer="0" w:header="0"/>
        </w:sectPr>
      </w:pPr>
    </w:p>
    <w:bookmarkStart w:id="59" w:name="page60"/>
    <w:bookmarkEnd w:id="59"/>
    <w:p>
      <w:pPr>
        <w:jc w:val="both"/>
        <w:ind w:left="691" w:hanging="691"/>
        <w:spacing w:after="0" w:line="250" w:lineRule="auto"/>
        <w:tabs>
          <w:tab w:leader="none" w:pos="6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Restrictive Covenants. </w:t>
      </w:r>
      <w:r>
        <w:rPr>
          <w:rFonts w:ascii="Times New Roman" w:cs="Times New Roman" w:eastAsia="Times New Roman" w:hAnsi="Times New Roman"/>
          <w:sz w:val="20"/>
          <w:szCs w:val="20"/>
          <w:color w:val="auto"/>
        </w:rPr>
        <w:t>The parties expressly acknowledge that those certain employment obligations set forth in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specifically the non-solicitation of employees provisions in Section 9(b), the non-solicitation of third parties provisions in Section 9(c), and the non-disparagement provisions in Section 9(d) of the Executive Agreement, shall remain in full force and effect for the time period(s) specified in those provisions. To the extent applicable law considers the reason for termination in determining whether to enforce the employment obligations in Sections 9(b) or (c),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w:t>
      </w:r>
    </w:p>
    <w:p>
      <w:pPr>
        <w:spacing w:after="0" w:line="168" w:lineRule="exact"/>
        <w:rPr>
          <w:rFonts w:ascii="Times New Roman" w:cs="Times New Roman" w:eastAsia="Times New Roman" w:hAnsi="Times New Roman"/>
          <w:sz w:val="20"/>
          <w:szCs w:val="20"/>
          <w:color w:val="auto"/>
        </w:rPr>
      </w:pPr>
    </w:p>
    <w:p>
      <w:pPr>
        <w:jc w:val="both"/>
        <w:ind w:left="691" w:hanging="691"/>
        <w:spacing w:after="0" w:line="263" w:lineRule="auto"/>
        <w:tabs>
          <w:tab w:leader="none" w:pos="68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Return of Documents, Material, Information and Property. </w:t>
      </w:r>
      <w:r>
        <w:rPr>
          <w:rFonts w:ascii="Times New Roman" w:cs="Times New Roman" w:eastAsia="Times New Roman" w:hAnsi="Times New Roman"/>
          <w:sz w:val="19"/>
          <w:szCs w:val="19"/>
          <w:color w:val="auto"/>
        </w:rPr>
        <w:t>By no later than the Separation Date, Executive agrees to return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 learned in the course and scope of Executive’s employment (“Company Property”). Executive represents that Executive has made a diligent search to locate any such documents, property and information, and that Executive has permanently deleted and expunged all Ross 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 party and will not do so in the future.</w:t>
      </w:r>
    </w:p>
    <w:p>
      <w:pPr>
        <w:spacing w:after="0" w:line="154" w:lineRule="exact"/>
        <w:rPr>
          <w:rFonts w:ascii="Times New Roman" w:cs="Times New Roman" w:eastAsia="Times New Roman" w:hAnsi="Times New Roman"/>
          <w:sz w:val="19"/>
          <w:szCs w:val="19"/>
          <w:color w:val="auto"/>
        </w:rPr>
      </w:pPr>
    </w:p>
    <w:p>
      <w:pPr>
        <w:jc w:val="both"/>
        <w:ind w:left="691" w:hanging="691"/>
        <w:spacing w:after="0" w:line="250" w:lineRule="auto"/>
        <w:tabs>
          <w:tab w:leader="none" w:pos="67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Executive further agrees to be available as needed and fully cooperate with Ross in defending any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 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ensure a smooth transition of responsibilities and to minimize any adverse consequences of Executive’s departure.</w:t>
      </w:r>
    </w:p>
    <w:p>
      <w:pPr>
        <w:spacing w:after="0" w:line="171" w:lineRule="exact"/>
        <w:rPr>
          <w:rFonts w:ascii="Times New Roman" w:cs="Times New Roman" w:eastAsia="Times New Roman" w:hAnsi="Times New Roman"/>
          <w:sz w:val="20"/>
          <w:szCs w:val="20"/>
          <w:color w:val="auto"/>
        </w:rPr>
      </w:pPr>
    </w:p>
    <w:p>
      <w:pPr>
        <w:jc w:val="both"/>
        <w:ind w:left="691" w:hanging="618"/>
        <w:spacing w:after="0" w:line="262" w:lineRule="auto"/>
        <w:tabs>
          <w:tab w:leader="none" w:pos="6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Confidentiality. </w:t>
      </w:r>
      <w:r>
        <w:rPr>
          <w:rFonts w:ascii="Times New Roman" w:cs="Times New Roman" w:eastAsia="Times New Roman" w:hAnsi="Times New Roman"/>
          <w:sz w:val="20"/>
          <w:szCs w:val="20"/>
          <w:color w:val="auto"/>
        </w:rPr>
        <w:t>Executive agrees that this is a private agreement and that Executive will not disclose or discuss the fact that it exists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discuss or disclose its terms with anyone other than Executive’s spouse, attorney, and accountant, or as required by law. Further, nothing in this Agreement shall limit the Executive’s right to disclose factual information related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567055</wp:posOffset>
            </wp:positionV>
            <wp:extent cx="1527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567055</wp:posOffset>
            </wp:positionV>
            <wp:extent cx="1518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1"/>
        <w:spacing w:after="0"/>
        <w:tabs>
          <w:tab w:leader="none" w:pos="1027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95"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311"/>
          </w:cols>
          <w:pgMar w:left="249" w:top="1346" w:right="339" w:bottom="1440" w:gutter="0" w:footer="0" w:header="0"/>
        </w:sectPr>
      </w:pPr>
    </w:p>
    <w:bookmarkStart w:id="60" w:name="page61"/>
    <w:bookmarkEnd w:id="60"/>
    <w:p>
      <w:pPr>
        <w:ind w:left="620"/>
        <w:spacing w:after="0" w:line="268" w:lineRule="auto"/>
        <w:rPr>
          <w:sz w:val="20"/>
          <w:szCs w:val="20"/>
          <w:color w:val="auto"/>
        </w:rPr>
      </w:pPr>
      <w:r>
        <w:rPr>
          <w:rFonts w:ascii="Times New Roman" w:cs="Times New Roman" w:eastAsia="Times New Roman" w:hAnsi="Times New Roman"/>
          <w:sz w:val="20"/>
          <w:szCs w:val="20"/>
          <w:color w:val="auto"/>
        </w:rPr>
        <w:t>claim filed in a civil action or an administrative action regarding sexual assault, sexual harassment, harassment, discrimination or retaliation.</w:t>
      </w:r>
    </w:p>
    <w:p>
      <w:pPr>
        <w:spacing w:after="0" w:line="160" w:lineRule="exact"/>
        <w:rPr>
          <w:sz w:val="20"/>
          <w:szCs w:val="20"/>
          <w:color w:val="auto"/>
        </w:rPr>
      </w:pPr>
    </w:p>
    <w:p>
      <w:pPr>
        <w:jc w:val="both"/>
        <w:ind w:left="620" w:hanging="618"/>
        <w:spacing w:after="0" w:line="251"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Except as required by law, Executive agrees not to make, publish or issue, or cause to be made, published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any untrue, disparaging or derogatory statements concerning the Company or any Releasee. Nothing in this Agreement prevents the Executive from discussing or disclosing information about unlawful acts in the workplace, such as sexual harassment, sexual assault, or discrimination or any other conduct that the Executive has reason to believe is unlawful, or otherwise restricts or impedes the Executive from exercising protected rights as permitted by applicable law.</w:t>
      </w:r>
    </w:p>
    <w:p>
      <w:pPr>
        <w:spacing w:after="0" w:line="178"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Medicare Representation. </w:t>
      </w:r>
      <w:r>
        <w:rPr>
          <w:rFonts w:ascii="Times New Roman" w:cs="Times New Roman" w:eastAsia="Times New Roman" w:hAnsi="Times New Roman"/>
          <w:sz w:val="20"/>
          <w:szCs w:val="20"/>
          <w:color w:val="auto"/>
        </w:rPr>
        <w:t>Executive warrants that Executive is not a Medicare beneficiary as of the date of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no conditional payments are required to be made to Medicare.</w:t>
      </w:r>
    </w:p>
    <w:p>
      <w:pPr>
        <w:spacing w:after="0" w:line="156" w:lineRule="exact"/>
        <w:rPr>
          <w:rFonts w:ascii="Times New Roman" w:cs="Times New Roman" w:eastAsia="Times New Roman" w:hAnsi="Times New Roman"/>
          <w:sz w:val="20"/>
          <w:szCs w:val="20"/>
          <w:color w:val="auto"/>
        </w:rPr>
      </w:pPr>
    </w:p>
    <w:p>
      <w:pPr>
        <w:jc w:val="both"/>
        <w:ind w:left="620" w:hanging="618"/>
        <w:spacing w:after="0" w:line="248"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 Code Section 409A. </w:t>
      </w:r>
      <w:r>
        <w:rPr>
          <w:rFonts w:ascii="Times New Roman" w:cs="Times New Roman" w:eastAsia="Times New Roman" w:hAnsi="Times New Roman"/>
          <w:sz w:val="20"/>
          <w:szCs w:val="20"/>
          <w:color w:val="auto"/>
        </w:rPr>
        <w:t>This Agreement is intended to comply with Section 409A of the Internal Revenue Code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83" w:lineRule="exact"/>
        <w:rPr>
          <w:rFonts w:ascii="Times New Roman" w:cs="Times New Roman" w:eastAsia="Times New Roman" w:hAnsi="Times New Roman"/>
          <w:sz w:val="20"/>
          <w:szCs w:val="20"/>
          <w:color w:val="auto"/>
        </w:rPr>
      </w:pPr>
    </w:p>
    <w:p>
      <w:pPr>
        <w:jc w:val="both"/>
        <w:ind w:left="620" w:hanging="618"/>
        <w:spacing w:after="0" w:line="256"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Forum Selection. </w:t>
      </w:r>
      <w:r>
        <w:rPr>
          <w:rFonts w:ascii="Times New Roman" w:cs="Times New Roman" w:eastAsia="Times New Roman" w:hAnsi="Times New Roman"/>
          <w:sz w:val="20"/>
          <w:szCs w:val="20"/>
          <w:color w:val="auto"/>
        </w:rPr>
        <w:t>Any action arising out of this Agreement or an alleged breach of this Agreement shall be brought only in the County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Alameda in the State of California. Unless otherwise ordered, only the provisions of this Agreement in dispute or alleged to have been breached shall be disclosed in any such action.</w:t>
      </w:r>
    </w:p>
    <w:p>
      <w:pPr>
        <w:spacing w:after="0" w:line="172"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Applicable Law. </w:t>
      </w:r>
      <w:r>
        <w:rPr>
          <w:rFonts w:ascii="Times New Roman" w:cs="Times New Roman" w:eastAsia="Times New Roman" w:hAnsi="Times New Roman"/>
          <w:sz w:val="20"/>
          <w:szCs w:val="20"/>
          <w:color w:val="auto"/>
        </w:rPr>
        <w:t>This Agreement shall be governed, interpreted and enforced in accordance with the laws of the State of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regard to its conflict or choice of law provisions.</w:t>
      </w:r>
    </w:p>
    <w:p>
      <w:pPr>
        <w:spacing w:after="0" w:line="156"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part of this Agreement is found to be invalid or unenforceable, the remaining parts of the Agreement will remain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effect as if no invalid or unenforceable part existed.</w:t>
      </w:r>
    </w:p>
    <w:p>
      <w:pPr>
        <w:spacing w:after="0" w:line="143" w:lineRule="exact"/>
        <w:rPr>
          <w:rFonts w:ascii="Times New Roman" w:cs="Times New Roman" w:eastAsia="Times New Roman" w:hAnsi="Times New Roman"/>
          <w:sz w:val="20"/>
          <w:szCs w:val="20"/>
          <w:color w:val="auto"/>
        </w:rPr>
      </w:pPr>
    </w:p>
    <w:p>
      <w:pPr>
        <w:jc w:val="both"/>
        <w:ind w:left="620" w:hanging="618"/>
        <w:spacing w:after="0" w:line="254" w:lineRule="auto"/>
        <w:tabs>
          <w:tab w:leader="none" w:pos="6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sets forth the entire agreement between the parties hereto, and fully supersedes all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 Options Following Termination), Section 13 (Insurance and Indemnity) and Section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572770</wp:posOffset>
            </wp:positionV>
            <wp:extent cx="1527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572770</wp:posOffset>
            </wp:positionV>
            <wp:extent cx="1518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50" w:right="339" w:bottom="1440" w:gutter="0" w:footer="0" w:header="0"/>
        </w:sectPr>
      </w:pPr>
    </w:p>
    <w:bookmarkStart w:id="61" w:name="page62"/>
    <w:bookmarkEnd w:id="61"/>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(Mitigation), and Section 19 (Arbitration) and the “Arbitration Agreement” referenced therein,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180" w:lineRule="exact"/>
        <w:rPr>
          <w:sz w:val="20"/>
          <w:szCs w:val="20"/>
          <w:color w:val="auto"/>
        </w:rPr>
      </w:pPr>
    </w:p>
    <w:p>
      <w:pPr>
        <w:jc w:val="both"/>
        <w:ind w:left="620" w:hanging="618"/>
        <w:spacing w:after="0" w:line="262" w:lineRule="auto"/>
        <w:tabs>
          <w:tab w:leader="none" w:pos="6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 counterparts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shall constitute one agreement binding on all of the parties hereto. The Agreement may be signed and transmitted electronically, and such signatures shall be binding and deemed originals for purposes of enforcing this Agreement.</w:t>
      </w:r>
    </w:p>
    <w:p>
      <w:pPr>
        <w:spacing w:after="0" w:line="154"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Advice of Counsel. </w:t>
      </w:r>
      <w:r>
        <w:rPr>
          <w:rFonts w:ascii="Times New Roman" w:cs="Times New Roman" w:eastAsia="Times New Roman" w:hAnsi="Times New Roman"/>
          <w:sz w:val="20"/>
          <w:szCs w:val="20"/>
          <w:color w:val="auto"/>
        </w:rPr>
        <w:t>Executive is advised to discuss this Agreement with an attorney of Executive’s choice and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has been given ample opportunity to do so and has, in fact, done so.</w:t>
      </w:r>
    </w:p>
    <w:p>
      <w:pPr>
        <w:spacing w:after="0" w:line="156"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Knowing and Voluntary. </w:t>
      </w:r>
      <w:r>
        <w:rPr>
          <w:rFonts w:ascii="Times New Roman" w:cs="Times New Roman" w:eastAsia="Times New Roman" w:hAnsi="Times New Roman"/>
          <w:sz w:val="20"/>
          <w:szCs w:val="20"/>
          <w:color w:val="auto"/>
        </w:rPr>
        <w:t>Executive acknowledges that Executive is entering into this Agreement freely, knowingly and voluntarily,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duress or coercion, and with a full understanding of its terms. Executive further acknowledges that Executive</w:t>
      </w:r>
    </w:p>
    <w:p>
      <w:pPr>
        <w:spacing w:after="0" w:line="147"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carefully read and understands this Agreement;</w:t>
      </w:r>
    </w:p>
    <w:p>
      <w:pPr>
        <w:spacing w:after="0" w:line="217" w:lineRule="exact"/>
        <w:rPr>
          <w:rFonts w:ascii="Times New Roman" w:cs="Times New Roman" w:eastAsia="Times New Roman" w:hAnsi="Times New Roman"/>
          <w:sz w:val="20"/>
          <w:szCs w:val="20"/>
          <w:color w:val="auto"/>
        </w:rPr>
      </w:pPr>
    </w:p>
    <w:p>
      <w:pPr>
        <w:ind w:left="1240" w:hanging="624"/>
        <w:spacing w:after="0" w:line="260" w:lineRule="auto"/>
        <w:tabs>
          <w:tab w:leader="none" w:pos="105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through this Agreement, releasing Ross from any and all claims Executive may have against it that have arisen prior to or as of the date of this Agreement, including but not limited to, rights or claims arising under the Age Discrimination in Employment Act of 1967;</w:t>
      </w:r>
    </w:p>
    <w:p>
      <w:pPr>
        <w:spacing w:after="0" w:line="160"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agrees to all of the terms set forth in this Agreement; and</w:t>
      </w:r>
    </w:p>
    <w:p>
      <w:pPr>
        <w:spacing w:after="0" w:line="204"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intends to be legally bound by the terms of this Agreement;</w:t>
      </w:r>
    </w:p>
    <w:p>
      <w:pPr>
        <w:spacing w:after="0" w:line="218" w:lineRule="exact"/>
        <w:rPr>
          <w:sz w:val="20"/>
          <w:szCs w:val="20"/>
          <w:color w:val="auto"/>
        </w:rPr>
      </w:pPr>
    </w:p>
    <w:p>
      <w:pPr>
        <w:ind w:left="620"/>
        <w:spacing w:after="0" w:line="268" w:lineRule="auto"/>
        <w:rPr>
          <w:sz w:val="20"/>
          <w:szCs w:val="20"/>
          <w:color w:val="auto"/>
        </w:rPr>
      </w:pPr>
      <w:r>
        <w:rPr>
          <w:rFonts w:ascii="Times New Roman" w:cs="Times New Roman" w:eastAsia="Times New Roman" w:hAnsi="Times New Roman"/>
          <w:sz w:val="20"/>
          <w:szCs w:val="20"/>
          <w:color w:val="auto"/>
        </w:rPr>
        <w:t>The following subparagraphs shall be applicable only if Executive is forty years of age or older at the time Executive signs this Agreement.</w:t>
      </w:r>
    </w:p>
    <w:p>
      <w:pPr>
        <w:spacing w:after="0" w:line="164" w:lineRule="exact"/>
        <w:rPr>
          <w:sz w:val="20"/>
          <w:szCs w:val="20"/>
          <w:color w:val="auto"/>
        </w:rPr>
      </w:pPr>
    </w:p>
    <w:p>
      <w:pPr>
        <w:ind w:left="1220" w:hanging="607"/>
        <w:spacing w:after="0" w:line="254" w:lineRule="auto"/>
        <w:tabs>
          <w:tab w:leader="none" w:pos="105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177" w:lineRule="exact"/>
        <w:rPr>
          <w:rFonts w:ascii="Times New Roman" w:cs="Times New Roman" w:eastAsia="Times New Roman" w:hAnsi="Times New Roman"/>
          <w:sz w:val="20"/>
          <w:szCs w:val="20"/>
          <w:color w:val="auto"/>
        </w:rPr>
      </w:pPr>
    </w:p>
    <w:p>
      <w:pPr>
        <w:ind w:left="1220" w:hanging="607"/>
        <w:spacing w:after="0" w:line="268" w:lineRule="auto"/>
        <w:tabs>
          <w:tab w:leader="none" w:pos="99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a full seven (7) days following the execution of this Agreement to revoke this Agreement (the “Revocation Period") by providing written revocation notice to the Company’s General Counsel or such other person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561975</wp:posOffset>
            </wp:positionV>
            <wp:extent cx="1527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561975</wp:posOffset>
            </wp:positionV>
            <wp:extent cx="1518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50" w:right="339" w:bottom="1440" w:gutter="0" w:footer="0" w:header="0"/>
        </w:sectPr>
      </w:pPr>
    </w:p>
    <w:bookmarkStart w:id="62" w:name="page63"/>
    <w:bookmarkEnd w:id="62"/>
    <w:p>
      <w:pPr>
        <w:jc w:val="both"/>
        <w:ind w:left="1200"/>
        <w:spacing w:after="0" w:line="280" w:lineRule="auto"/>
        <w:rPr>
          <w:sz w:val="20"/>
          <w:szCs w:val="20"/>
          <w:color w:val="auto"/>
        </w:rPr>
      </w:pPr>
      <w:r>
        <w:rPr>
          <w:rFonts w:ascii="Times New Roman" w:cs="Times New Roman" w:eastAsia="Times New Roman" w:hAnsi="Times New Roman"/>
          <w:sz w:val="19"/>
          <w:szCs w:val="19"/>
          <w:color w:val="auto"/>
        </w:rPr>
        <w:t>designates. The revocation must be personally delivered or mailed to the General Counsel or such other person as the Company designates at 5130 Hacienda Dr., Dublin, CA 94568 and postmarked within seven (7) calendar days of Executive’s execution of this Agreement. This Agreement shall not become effective or enforceable until the Revocation Period has expired.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hereto knowingly and voluntarily executed this Agreement as of the date set forth below:</w:t>
      </w:r>
    </w:p>
    <w:p>
      <w:pPr>
        <w:sectPr>
          <w:pgSz w:w="11900" w:h="16838" w:orient="portrait"/>
          <w:cols w:equalWidth="0" w:num="1">
            <w:col w:w="11220"/>
          </w:cols>
          <w:pgMar w:left="340" w:top="1350" w:right="339" w:bottom="1440" w:gutter="0" w:footer="0" w:header="0"/>
        </w:sect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ectPr>
          <w:pgSz w:w="11900" w:h="16838" w:orient="portrait"/>
          <w:cols w:equalWidth="0" w:num="2">
            <w:col w:w="5280" w:space="720"/>
            <w:col w:w="5220"/>
          </w:cols>
          <w:pgMar w:left="340" w:top="13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Ross Stores, Inc. and its Subsidiaries</w:t>
      </w:r>
    </w:p>
    <w:p>
      <w:pPr>
        <w:spacing w:after="0" w:line="51" w:lineRule="exact"/>
        <w:rPr>
          <w:sz w:val="20"/>
          <w:szCs w:val="20"/>
          <w:color w:val="auto"/>
        </w:rPr>
      </w:pPr>
    </w:p>
    <w:p>
      <w:pPr>
        <w:sectPr>
          <w:pgSz w:w="11900" w:h="16838" w:orient="portrait"/>
          <w:cols w:equalWidth="0" w:num="2">
            <w:col w:w="5280" w:space="720"/>
            <w:col w:w="5220"/>
          </w:cols>
          <w:pgMar w:left="340" w:top="1350" w:right="339" w:bottom="1440" w:gutter="0" w:footer="0" w:header="0"/>
          <w:type w:val="continuous"/>
        </w:sectPr>
      </w:pPr>
    </w:p>
    <w:p>
      <w:pPr>
        <w:ind w:left="6320"/>
        <w:spacing w:after="0"/>
        <w:rPr>
          <w:sz w:val="20"/>
          <w:szCs w:val="20"/>
          <w:color w:val="auto"/>
        </w:rPr>
      </w:pPr>
      <w:r>
        <w:rPr>
          <w:rFonts w:ascii="Times New Roman" w:cs="Times New Roman" w:eastAsia="Times New Roman" w:hAnsi="Times New Roman"/>
          <w:sz w:val="19"/>
          <w:szCs w:val="19"/>
          <w:color w:val="auto"/>
        </w:rPr>
        <w: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692785</wp:posOffset>
            </wp:positionV>
            <wp:extent cx="1527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692785</wp:posOffset>
            </wp:positionV>
            <wp:extent cx="1518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ectPr>
          <w:pgSz w:w="11900" w:h="16838" w:orient="portrait"/>
          <w:cols w:equalWidth="0" w:num="1">
            <w:col w:w="11220"/>
          </w:cols>
          <w:pgMar w:left="340" w:top="13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40" w:top="1350"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effective __________,</w:t>
      </w:r>
      <w:r>
        <w:rPr>
          <w:rFonts w:ascii="Times New Roman" w:cs="Times New Roman" w:eastAsia="Times New Roman" w:hAnsi="Times New Roman"/>
          <w:sz w:val="20"/>
          <w:szCs w:val="20"/>
          <w:b w:val="1"/>
          <w:bCs w:val="1"/>
          <w:color w:val="auto"/>
        </w:rPr>
        <w:t xml:space="preserve"> 2026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by and between Ross Stores, Inc., a Delaware corporation, and ____________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References herein to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mean Ross Stores, Inc. and, where appropriate, Ross Stores, Inc. and each and any of its divisions, affiliates or subsidiaries.</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2" w:lineRule="exact"/>
        <w:rPr>
          <w:sz w:val="20"/>
          <w:szCs w:val="20"/>
          <w:color w:val="auto"/>
        </w:rPr>
      </w:pPr>
    </w:p>
    <w:p>
      <w:pPr>
        <w:ind w:left="1220" w:hanging="604"/>
        <w:spacing w:after="0"/>
        <w:tabs>
          <w:tab w:leader="none" w:pos="12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wishes  to  employ  the  Executive,  and  the  Executive  is  willing  to  accept  such  employment,  as</w:t>
      </w:r>
    </w:p>
    <w:p>
      <w:pPr>
        <w:spacing w:after="0" w:line="2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______________________</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firstLine="616"/>
        <w:spacing w:after="0" w:line="268" w:lineRule="auto"/>
        <w:tabs>
          <w:tab w:leader="none" w:pos="121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consideration for the promises of the parties set forth below, the Company and the Executive hereby agree as follows:</w:t>
      </w:r>
    </w:p>
    <w:p>
      <w:pPr>
        <w:spacing w:after="0" w:line="201" w:lineRule="exact"/>
        <w:rPr>
          <w:sz w:val="20"/>
          <w:szCs w:val="20"/>
          <w:color w:val="auto"/>
        </w:rPr>
      </w:pPr>
    </w:p>
    <w:p>
      <w:pPr>
        <w:ind w:firstLine="616"/>
        <w:spacing w:after="0" w:line="272" w:lineRule="auto"/>
        <w:tabs>
          <w:tab w:leader="none" w:pos="12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 the provisions of Section 6 of this Agreement, the term of employment of the Executive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shall be as follows:</w:t>
      </w:r>
    </w:p>
    <w:p>
      <w:pPr>
        <w:spacing w:after="0" w:line="156"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initial term of employment of the Executive by the Company under this Agreement shall begin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Effective Date and end on </w:t>
      </w:r>
      <w:r>
        <w:rPr>
          <w:rFonts w:ascii="Times New Roman" w:cs="Times New Roman" w:eastAsia="Times New Roman" w:hAnsi="Times New Roman"/>
          <w:sz w:val="20"/>
          <w:szCs w:val="20"/>
          <w:b w:val="1"/>
          <w:bCs w:val="1"/>
          <w:color w:val="auto"/>
        </w:rPr>
        <w:t>March 31, 2030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unless extended or terminated earlier in accordance with this Agreement. The Initial Term plus any Extension (as defined in Section 1(c) hereof) thereof shall be the “</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Extension Intent Notice. </w:t>
      </w:r>
      <w:r>
        <w:rPr>
          <w:rFonts w:ascii="Times New Roman" w:cs="Times New Roman" w:eastAsia="Times New Roman" w:hAnsi="Times New Roman"/>
          <w:sz w:val="20"/>
          <w:szCs w:val="20"/>
          <w:color w:val="auto"/>
        </w:rPr>
        <w:t>By December 31, 2027, the Executive shall advise the Chief Executive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(“CEO”) or the CEO’s designee whether the Executive would like the Term of Employment extended. If the Executive does not timely notify the Company of the Executive’s desire to extend (or not to extend) the Term of Employment, then such action shall be deemed to result in the Executive’s Voluntary Termination as of the Term of Employment end date unless the Company determines otherwise in its sole and absolute discretion.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50" w:lineRule="auto"/>
        <w:tabs>
          <w:tab w:leader="none" w:pos="184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New Agreement. </w:t>
      </w:r>
      <w:r>
        <w:rPr>
          <w:rFonts w:ascii="Times New Roman" w:cs="Times New Roman" w:eastAsia="Times New Roman" w:hAnsi="Times New Roman"/>
          <w:sz w:val="20"/>
          <w:szCs w:val="20"/>
          <w:color w:val="auto"/>
        </w:rPr>
        <w:t>Provided that, in accordance with Section 1(b) hereof, the Executive has timely notified the CEO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CEO’s designee of the Executive’s desire to extend the Executive’s employment, the Company will consider whether to offer the Executive an extension under this Agreement or a new Employment Agreement. If the Company decides in its sole and absolute discretion to offer the Executive an extension or a new Employment Agreement, the Company will notify the Executive accordingly (an "</w:t>
      </w:r>
      <w:r>
        <w:rPr>
          <w:rFonts w:ascii="Times New Roman" w:cs="Times New Roman" w:eastAsia="Times New Roman" w:hAnsi="Times New Roman"/>
          <w:sz w:val="20"/>
          <w:szCs w:val="20"/>
          <w:u w:val="single" w:color="auto"/>
          <w:color w:val="auto"/>
        </w:rPr>
        <w:t>Extension Notice</w:t>
      </w:r>
      <w:r>
        <w:rPr>
          <w:rFonts w:ascii="Times New Roman" w:cs="Times New Roman" w:eastAsia="Times New Roman" w:hAnsi="Times New Roman"/>
          <w:sz w:val="20"/>
          <w:szCs w:val="20"/>
          <w:color w:val="auto"/>
        </w:rPr>
        <w:t>") not less than one hundred eighty (180) days prior to the expiration of the Term of Employment. If the Company timely provides an Extension Notice and the Executive and the Company enter into such extension (or a new Employment Agreement), the Initial Term hereof will be extended by such additional period of time set forth in the Extension Notice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If the Company timely provides an Extension Notice and offers the Executive an extension or a new Employment Agreement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03" w:right="339" w:bottom="1440" w:gutter="0" w:footer="0" w:header="0"/>
        </w:sectPr>
      </w:pPr>
    </w:p>
    <w:bookmarkStart w:id="64" w:name="page65"/>
    <w:bookmarkEnd w:id="64"/>
    <w:p>
      <w:pPr>
        <w:jc w:val="both"/>
        <w:spacing w:after="0" w:line="260" w:lineRule="auto"/>
        <w:rPr>
          <w:sz w:val="20"/>
          <w:szCs w:val="20"/>
          <w:color w:val="auto"/>
        </w:rPr>
      </w:pPr>
      <w:r>
        <w:rPr>
          <w:rFonts w:ascii="Times New Roman" w:cs="Times New Roman" w:eastAsia="Times New Roman" w:hAnsi="Times New Roman"/>
          <w:sz w:val="20"/>
          <w:szCs w:val="20"/>
          <w:color w:val="auto"/>
        </w:rPr>
        <w:t>at least comparable terms to the Executive’s then current Employment Agreement but the Executive does not agree to enter into such extension or new Employment Agreement, such action shall be deemed to result in Executive’s Voluntary Termination as of the Term of Employment end date unless the Company determines otherwise in its sole and absolute discretion.</w:t>
      </w:r>
    </w:p>
    <w:p>
      <w:pPr>
        <w:spacing w:after="0" w:line="157" w:lineRule="exact"/>
        <w:rPr>
          <w:sz w:val="20"/>
          <w:szCs w:val="20"/>
          <w:color w:val="auto"/>
        </w:rPr>
      </w:pPr>
    </w:p>
    <w:p>
      <w:pPr>
        <w:jc w:val="both"/>
        <w:ind w:firstLine="616"/>
        <w:spacing w:after="0" w:line="254" w:lineRule="auto"/>
        <w:tabs>
          <w:tab w:leader="none" w:pos="122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Position and Duties. </w:t>
      </w:r>
      <w:r>
        <w:rPr>
          <w:rFonts w:ascii="Times New Roman" w:cs="Times New Roman" w:eastAsia="Times New Roman" w:hAnsi="Times New Roman"/>
          <w:sz w:val="20"/>
          <w:szCs w:val="20"/>
          <w:color w:val="auto"/>
        </w:rPr>
        <w:t>During the Term of Employment, the Executive shall serve as</w:t>
      </w:r>
      <w:r>
        <w:rPr>
          <w:rFonts w:ascii="Times New Roman" w:cs="Times New Roman" w:eastAsia="Times New Roman" w:hAnsi="Times New Roman"/>
          <w:sz w:val="20"/>
          <w:szCs w:val="20"/>
          <w:b w:val="1"/>
          <w:bCs w:val="1"/>
          <w:color w:val="auto"/>
        </w:rPr>
        <w:t xml:space="preserve"> ___________________________</w:t>
      </w:r>
      <w:r>
        <w:rPr>
          <w:rFonts w:ascii="Times New Roman" w:cs="Times New Roman" w:eastAsia="Times New Roman" w:hAnsi="Times New Roman"/>
          <w:sz w:val="20"/>
          <w:szCs w:val="20"/>
          <w:color w:val="auto"/>
        </w:rPr>
        <w:t>.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of Employment, the Executive may engage in outside activities provided (i) such activities (including but not limited to membership on boards of directors of not-for-profit and for-profit organizations) do not conflict with the Executive’s duties and responsibilities hereunder and (ii) the Executive obtains written approval from the CEO of any significant outside business activity in which the Executive plans to become involved, whether or not such activity is pursued for profit.</w:t>
      </w:r>
    </w:p>
    <w:p>
      <w:pPr>
        <w:spacing w:after="0" w:line="164" w:lineRule="exact"/>
        <w:rPr>
          <w:rFonts w:ascii="Times New Roman" w:cs="Times New Roman" w:eastAsia="Times New Roman" w:hAnsi="Times New Roman"/>
          <w:sz w:val="20"/>
          <w:szCs w:val="20"/>
          <w:color w:val="auto"/>
        </w:rPr>
      </w:pPr>
    </w:p>
    <w:p>
      <w:pPr>
        <w:jc w:val="both"/>
        <w:ind w:firstLine="616"/>
        <w:spacing w:after="0" w:line="262" w:lineRule="auto"/>
        <w:tabs>
          <w:tab w:leader="none" w:pos="122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Principal Place of Employment. </w:t>
      </w:r>
      <w:r>
        <w:rPr>
          <w:rFonts w:ascii="Times New Roman" w:cs="Times New Roman" w:eastAsia="Times New Roman" w:hAnsi="Times New Roman"/>
          <w:sz w:val="20"/>
          <w:szCs w:val="20"/>
          <w:color w:val="auto"/>
        </w:rPr>
        <w:t>The Executive shall be employed at the Company’s offices in</w:t>
      </w:r>
      <w:r>
        <w:rPr>
          <w:rFonts w:ascii="Times New Roman" w:cs="Times New Roman" w:eastAsia="Times New Roman" w:hAnsi="Times New Roman"/>
          <w:sz w:val="20"/>
          <w:szCs w:val="20"/>
          <w:b w:val="1"/>
          <w:bCs w:val="1"/>
          <w:color w:val="auto"/>
        </w:rPr>
        <w:t xml:space="preserve"> New York, NY</w:t>
      </w:r>
      <w:r>
        <w:rPr>
          <w:rFonts w:ascii="Times New Roman" w:cs="Times New Roman" w:eastAsia="Times New Roman" w:hAnsi="Times New Roman"/>
          <w:sz w:val="20"/>
          <w:szCs w:val="20"/>
          <w:color w:val="auto"/>
        </w:rPr>
        <w:t>,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travel on the Company’s business to an extent substantially consistent with present business travel obligations of the Executive’s position.</w:t>
      </w:r>
    </w:p>
    <w:p>
      <w:pPr>
        <w:spacing w:after="0" w:line="154"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Related Matters.</w:t>
      </w:r>
    </w:p>
    <w:p>
      <w:pPr>
        <w:spacing w:after="0" w:line="20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During the Term of Employment, the Company shall pay to the Executive a salary at a rate of not less than</w:t>
      </w:r>
    </w:p>
    <w:p>
      <w:pPr>
        <w:spacing w:after="0" w:line="30" w:lineRule="exact"/>
        <w:rPr>
          <w:rFonts w:ascii="Times New Roman" w:cs="Times New Roman" w:eastAsia="Times New Roman" w:hAnsi="Times New Roman"/>
          <w:sz w:val="20"/>
          <w:szCs w:val="20"/>
          <w:color w:val="auto"/>
        </w:rPr>
      </w:pPr>
    </w:p>
    <w:p>
      <w:pPr>
        <w:jc w:val="both"/>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 ($_________) per annum. The Executive’s salary shall be payable in substantially equal installments in accordance with the Company’s normal payroll practices applicable to senior executives. Subject to the first sentence of this Section 4(a), the Executive’s salary may be adjusted from time to time in accordance with normal business practices of the Company.</w:t>
      </w:r>
    </w:p>
    <w:p>
      <w:pPr>
        <w:spacing w:after="0" w:line="163" w:lineRule="exact"/>
        <w:rPr>
          <w:rFonts w:ascii="Times New Roman" w:cs="Times New Roman" w:eastAsia="Times New Roman" w:hAnsi="Times New Roman"/>
          <w:sz w:val="20"/>
          <w:szCs w:val="20"/>
          <w:color w:val="auto"/>
        </w:rPr>
      </w:pPr>
    </w:p>
    <w:p>
      <w:pPr>
        <w:jc w:val="both"/>
        <w:ind w:firstLine="1230"/>
        <w:spacing w:after="0" w:line="250" w:lineRule="auto"/>
        <w:tabs>
          <w:tab w:leader="none" w:pos="18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During the Term of Employment, the Executive shall be eligible to receive an annual bonus paid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__% of the Executive’s then effective annual salary rate.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168"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During the Term of Employment, the Executive shall be entitled to receive prompt reimbursement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73"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Benefits. </w:t>
      </w:r>
      <w:r>
        <w:rPr>
          <w:rFonts w:ascii="Times New Roman" w:cs="Times New Roman" w:eastAsia="Times New Roman" w:hAnsi="Times New Roman"/>
          <w:sz w:val="20"/>
          <w:szCs w:val="20"/>
          <w:color w:val="auto"/>
        </w:rPr>
        <w:t>During the Term of Employment, the Executive shall be entitled to participate in all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plans and arrangements in which senior executives of the Company are eligible to participate. The Company shall not make any changes in such plans or arrangements which would adversely affect the Executive’s rights 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07" w:right="339" w:bottom="1440" w:gutter="0" w:footer="0" w:header="0"/>
        </w:sectPr>
      </w:pPr>
    </w:p>
    <w:bookmarkStart w:id="65" w:name="page66"/>
    <w:bookmarkEnd w:id="65"/>
    <w:p>
      <w:pPr>
        <w:jc w:val="both"/>
        <w:spacing w:after="0" w:line="249" w:lineRule="auto"/>
        <w:rPr>
          <w:sz w:val="20"/>
          <w:szCs w:val="20"/>
          <w:color w:val="auto"/>
        </w:rPr>
      </w:pPr>
      <w:r>
        <w:rPr>
          <w:rFonts w:ascii="Times New Roman" w:cs="Times New Roman" w:eastAsia="Times New Roman" w:hAnsi="Times New Roman"/>
          <w:sz w:val="20"/>
          <w:szCs w:val="20"/>
          <w:color w:val="auto"/>
        </w:rPr>
        <w:t>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80" w:lineRule="exact"/>
        <w:rPr>
          <w:sz w:val="20"/>
          <w:szCs w:val="20"/>
          <w:color w:val="auto"/>
        </w:rPr>
      </w:pPr>
    </w:p>
    <w:p>
      <w:pPr>
        <w:jc w:val="both"/>
        <w:ind w:firstLine="1230"/>
        <w:spacing w:after="0" w:line="251" w:lineRule="auto"/>
        <w:tabs>
          <w:tab w:leader="none" w:pos="184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Vacations. </w:t>
      </w:r>
      <w:r>
        <w:rPr>
          <w:rFonts w:ascii="Times New Roman" w:cs="Times New Roman" w:eastAsia="Times New Roman" w:hAnsi="Times New Roman"/>
          <w:sz w:val="20"/>
          <w:szCs w:val="20"/>
          <w:color w:val="auto"/>
        </w:rPr>
        <w:t>During the Term of Employment, the Executive shall be entitled to</w:t>
      </w:r>
      <w:r>
        <w:rPr>
          <w:rFonts w:ascii="Times New Roman" w:cs="Times New Roman" w:eastAsia="Times New Roman" w:hAnsi="Times New Roman"/>
          <w:sz w:val="20"/>
          <w:szCs w:val="20"/>
          <w:b w:val="1"/>
          <w:bCs w:val="1"/>
          <w:color w:val="auto"/>
        </w:rPr>
        <w:t xml:space="preserve"> __________ </w:t>
      </w:r>
      <w:r>
        <w:rPr>
          <w:rFonts w:ascii="Times New Roman" w:cs="Times New Roman" w:eastAsia="Times New Roman" w:hAnsi="Times New Roman"/>
          <w:sz w:val="20"/>
          <w:szCs w:val="20"/>
          <w:color w:val="auto"/>
        </w:rPr>
        <w:t>vacation days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166" w:lineRule="exact"/>
        <w:rPr>
          <w:rFonts w:ascii="Times New Roman" w:cs="Times New Roman" w:eastAsia="Times New Roman" w:hAnsi="Times New Roman"/>
          <w:sz w:val="20"/>
          <w:szCs w:val="20"/>
          <w:color w:val="auto"/>
        </w:rPr>
      </w:pPr>
    </w:p>
    <w:p>
      <w:pPr>
        <w:ind w:firstLine="1230"/>
        <w:spacing w:after="0" w:line="285" w:lineRule="auto"/>
        <w:tabs>
          <w:tab w:leader="none" w:pos="183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Furnished. </w:t>
      </w:r>
      <w:r>
        <w:rPr>
          <w:rFonts w:ascii="Times New Roman" w:cs="Times New Roman" w:eastAsia="Times New Roman" w:hAnsi="Times New Roman"/>
          <w:sz w:val="20"/>
          <w:szCs w:val="20"/>
          <w:color w:val="auto"/>
        </w:rPr>
        <w:t>The Company shall furnish the Executive with office space and such services as are suitable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Executive’s position and adequate for the performance of the Executive’s duties during the Term of Employment.</w:t>
      </w:r>
    </w:p>
    <w:p>
      <w:pPr>
        <w:spacing w:after="0" w:line="131"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 Information and Intellectual Property.</w:t>
      </w:r>
    </w:p>
    <w:p>
      <w:pPr>
        <w:spacing w:after="0" w:line="221" w:lineRule="exact"/>
        <w:rPr>
          <w:rFonts w:ascii="Times New Roman" w:cs="Times New Roman" w:eastAsia="Times New Roman" w:hAnsi="Times New Roman"/>
          <w:sz w:val="20"/>
          <w:szCs w:val="20"/>
          <w:color w:val="auto"/>
        </w:rPr>
      </w:pPr>
    </w:p>
    <w:p>
      <w:pPr>
        <w:ind w:firstLine="1230"/>
        <w:spacing w:after="0" w:line="268" w:lineRule="auto"/>
        <w:tabs>
          <w:tab w:leader="none" w:pos="184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intended to supplement, and not to supersede, any rights the Company may have in law or equity with respect to the protection of trade secrets or confidential or proprietary information.</w:t>
      </w:r>
    </w:p>
    <w:p>
      <w:pPr>
        <w:spacing w:after="0" w:line="151" w:lineRule="exact"/>
        <w:rPr>
          <w:rFonts w:ascii="Times New Roman" w:cs="Times New Roman" w:eastAsia="Times New Roman" w:hAnsi="Times New Roman"/>
          <w:sz w:val="20"/>
          <w:szCs w:val="20"/>
          <w:color w:val="auto"/>
        </w:rPr>
      </w:pPr>
    </w:p>
    <w:p>
      <w:pPr>
        <w:jc w:val="both"/>
        <w:ind w:firstLine="1230"/>
        <w:spacing w:after="0" w:line="258" w:lineRule="auto"/>
        <w:tabs>
          <w:tab w:leader="none" w:pos="184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162" w:lineRule="exact"/>
        <w:rPr>
          <w:rFonts w:ascii="Times New Roman" w:cs="Times New Roman" w:eastAsia="Times New Roman" w:hAnsi="Times New Roman"/>
          <w:sz w:val="20"/>
          <w:szCs w:val="20"/>
          <w:color w:val="auto"/>
        </w:rPr>
      </w:pPr>
    </w:p>
    <w:p>
      <w:pPr>
        <w:jc w:val="both"/>
        <w:ind w:firstLine="1230"/>
        <w:spacing w:after="0" w:line="263" w:lineRule="auto"/>
        <w:tabs>
          <w:tab w:leader="none" w:pos="1842"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Confidential Information includes any written or unwritten information which relates to and/or is used by the Company or its subsidiaries, affiliates or divisions, including, without limitation: (i) the names, addresses, buying habits and other special information regarding past, present and potential customers, employees and suppliers of the Company; (ii) customer and supplier contracts and transactions or price lists of the Company and suppliers; (iii) methods of distribution; (iv) all agreements, files, books, logs, charts, records, studies, reports, processes, schedules and statistical information; (v) data, figures, projections, estimates, pricing data, customer lists, buying manuals or procedures, distribution manuals or procedures, and other policy and procedure manuals or handbooks; (vi) supplier information, tax records, personnel histories and records, sales information and property information; (vii) information regarding the present or future phases of business; (viii) ideas, inventions, trademarks, business information, know-how, processes, techniques, improvements, designs, redesigns, creations, discoveries, trade secrets, and developments; (ix) all computer software licensed or developed by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07" w:right="339" w:bottom="1440" w:gutter="0" w:footer="0" w:header="0"/>
        </w:sectPr>
      </w:pPr>
    </w:p>
    <w:bookmarkStart w:id="66" w:name="page67"/>
    <w:bookmarkEnd w:id="66"/>
    <w:p>
      <w:pPr>
        <w:jc w:val="both"/>
        <w:spacing w:after="0" w:line="248" w:lineRule="auto"/>
        <w:rPr>
          <w:sz w:val="20"/>
          <w:szCs w:val="20"/>
          <w:color w:val="auto"/>
        </w:rPr>
      </w:pPr>
      <w:r>
        <w:rPr>
          <w:rFonts w:ascii="Times New Roman" w:cs="Times New Roman" w:eastAsia="Times New Roman" w:hAnsi="Times New Roman"/>
          <w:sz w:val="20"/>
          <w:szCs w:val="20"/>
          <w:color w:val="auto"/>
        </w:rPr>
        <w:t>affiliates or divisions, computer programs, computer-based and web-based training programs, and systems; and (x) finances and financial information. However, Confidential Information will not include information of the Company or its subsidiaries, affiliates or divisions that (1) became or becomes a matter of public knowledge through sources independent of the Executive or (2) has been or is disclosed by the Company or its subsidiaries, affiliates or divisions without restriction on its use. To the extent that the executive is required or permitted by law or governmental order or regulation to disclose Confidential Information, the Executive shall provide prompt written notice of any such order to the Company’s CEO or the CEO’s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Company’s CEO confirms to the Executive that the information is public knowledge.</w:t>
      </w:r>
    </w:p>
    <w:p>
      <w:pPr>
        <w:spacing w:after="0" w:line="176" w:lineRule="exact"/>
        <w:rPr>
          <w:sz w:val="20"/>
          <w:szCs w:val="20"/>
          <w:color w:val="auto"/>
        </w:rPr>
      </w:pPr>
    </w:p>
    <w:p>
      <w:pPr>
        <w:jc w:val="both"/>
        <w:ind w:firstLine="1230"/>
        <w:spacing w:after="0" w:line="260" w:lineRule="auto"/>
        <w:tabs>
          <w:tab w:leader="none" w:pos="18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5 shall not preclude the Executive from disclosing such information to the Executive's professional tax advisor or legal counsel solely to the extent necessary to the rendering of their professional services to the Executive if such individuals agree to keep such information confidential.</w:t>
      </w:r>
    </w:p>
    <w:p>
      <w:pPr>
        <w:spacing w:after="0" w:line="160"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8"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3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77" w:lineRule="exact"/>
        <w:rPr>
          <w:rFonts w:ascii="Times New Roman" w:cs="Times New Roman" w:eastAsia="Times New Roman" w:hAnsi="Times New Roman"/>
          <w:sz w:val="20"/>
          <w:szCs w:val="20"/>
          <w:color w:val="auto"/>
        </w:rPr>
      </w:pPr>
    </w:p>
    <w:p>
      <w:pPr>
        <w:jc w:val="both"/>
        <w:ind w:firstLine="1230"/>
        <w:spacing w:after="0" w:line="251" w:lineRule="auto"/>
        <w:tabs>
          <w:tab w:leader="none" w:pos="18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 Information) as a result of employment with the Company. The Executive further agrees to notify the CEO or the CEO’s designee immediately after being contacted by any member of the media with respect to any matter affected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07" w:right="339" w:bottom="1440" w:gutter="0" w:footer="0" w:header="0"/>
        </w:sectPr>
      </w:pPr>
    </w:p>
    <w:bookmarkStart w:id="67" w:name="page68"/>
    <w:bookmarkEnd w:id="67"/>
    <w:p>
      <w:pPr>
        <w:jc w:val="both"/>
        <w:ind w:firstLine="1230"/>
        <w:spacing w:after="0" w:line="260" w:lineRule="auto"/>
        <w:tabs>
          <w:tab w:leader="none" w:pos="18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the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 deliver any such documents on the Executive’s behalf in the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171" w:lineRule="exact"/>
        <w:rPr>
          <w:rFonts w:ascii="Times New Roman" w:cs="Times New Roman" w:eastAsia="Times New Roman" w:hAnsi="Times New Roman"/>
          <w:sz w:val="19"/>
          <w:szCs w:val="19"/>
          <w:color w:val="auto"/>
        </w:rPr>
      </w:pPr>
    </w:p>
    <w:p>
      <w:pPr>
        <w:jc w:val="both"/>
        <w:ind w:firstLine="1230"/>
        <w:spacing w:after="0" w:line="253" w:lineRule="auto"/>
        <w:tabs>
          <w:tab w:leader="none" w:pos="183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understands and acknowledges that Intellectual Property does not include and any provision in this Agreement requiring the Executive to assign rights to an invention does not apply to, any invention that is developed entirely on the Executive’s own time without using the Company’s equipment, supplies, facilities or trade secret information, and that does not either (i) relate the Company’s business, or actual or demonstrably anticipated research or development of the Employer or (ii) result from any work performed by the Executive for the Company.</w:t>
      </w:r>
    </w:p>
    <w:p>
      <w:pPr>
        <w:spacing w:after="0" w:line="169"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3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73" w:lineRule="exact"/>
        <w:rPr>
          <w:rFonts w:ascii="Times New Roman" w:cs="Times New Roman" w:eastAsia="Times New Roman" w:hAnsi="Times New Roman"/>
          <w:sz w:val="20"/>
          <w:szCs w:val="20"/>
          <w:color w:val="auto"/>
        </w:rPr>
      </w:pPr>
    </w:p>
    <w:p>
      <w:pPr>
        <w:jc w:val="both"/>
        <w:ind w:firstLine="1230"/>
        <w:spacing w:after="0" w:line="251" w:lineRule="auto"/>
        <w:tabs>
          <w:tab w:leader="none" w:pos="18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Executive’s employment, or at any time upon request of the Company, the Executive will (i) promptly return to the Company all Confidential Information and Intellectual Property, in any form, including but not limited to letters, memoranda, reports, notes, notebooks, books of account, drawings, prints, specifications, formulae, data printouts, microfilms, magnetic tapes, disks, recordings, documents, and all copies thereof,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07" w:right="339" w:bottom="1440" w:gutter="0" w:footer="0" w:header="0"/>
        </w:sectPr>
      </w:pPr>
    </w:p>
    <w:bookmarkStart w:id="68" w:name="page69"/>
    <w:bookmarkEnd w:id="68"/>
    <w:p>
      <w:pPr>
        <w:ind w:firstLine="1230"/>
        <w:spacing w:after="0" w:line="268" w:lineRule="auto"/>
        <w:tabs>
          <w:tab w:leader="none" w:pos="1467"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shall limit the Executive’s right to disclose sexual harassment or sexual assault disputes, or shall in any way, restrict or impede the Executive from exercising protected rights as afforded by applicable law.</w:t>
      </w:r>
    </w:p>
    <w:p>
      <w:pPr>
        <w:spacing w:after="0" w:line="160"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Executive’s employment may be terminated during the Term of Employment only as follows:</w:t>
      </w:r>
    </w:p>
    <w:p>
      <w:pPr>
        <w:spacing w:after="0" w:line="20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The Executive’s employment shall terminate upon the Executive’s death.</w:t>
      </w:r>
    </w:p>
    <w:p>
      <w:pPr>
        <w:spacing w:after="0" w:line="204"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0"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If, as a result of the Executive’s Disability (as defined below), the Executive shall have been absent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in accordance with Section 7(b)(ii). For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same meaning as ascribed to such term under the Company's long-term disability plan in which the Executive is participating; provided that in the absence of such plan (or the absence of the Executive's participation in such plan), Disability shall mean the Executive’s inability to substantially perform the Executive’s duties hereunder due to a medically determinable physical or mental impairment which has lasted for a period of not less than one hundred twenty (120) consecutive days.</w:t>
      </w:r>
    </w:p>
    <w:p>
      <w:pPr>
        <w:spacing w:after="0" w:line="180"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42" w:val="left"/>
        </w:tabs>
        <w:numPr>
          <w:ilvl w:val="2"/>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For Cause. </w:t>
      </w:r>
      <w:r>
        <w:rPr>
          <w:rFonts w:ascii="Times New Roman" w:cs="Times New Roman" w:eastAsia="Times New Roman" w:hAnsi="Times New Roman"/>
          <w:sz w:val="19"/>
          <w:szCs w:val="19"/>
          <w:color w:val="auto"/>
        </w:rPr>
        <w:t>The Company may terminate the Executive’s employment for Cause. For this purpose,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knowing or intentional misconduct by the Executive as a result of which the Company is required to prepare an accounting restatement; (v)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 any intentional misconduct or illegal or grossly negligent conduct by the Executive which is materially injurious to the Company monetarily or otherwise; (vii) any material breach by the Executive of the provisions of Section 9 [Certain Employment Obligations] of this Agreement; or</w:t>
      </w:r>
    </w:p>
    <w:p>
      <w:pPr>
        <w:spacing w:after="0" w:line="4" w:lineRule="exact"/>
        <w:rPr>
          <w:rFonts w:ascii="Times New Roman" w:cs="Times New Roman" w:eastAsia="Times New Roman" w:hAnsi="Times New Roman"/>
          <w:sz w:val="19"/>
          <w:szCs w:val="19"/>
          <w:color w:val="auto"/>
        </w:rPr>
      </w:pPr>
    </w:p>
    <w:p>
      <w:pPr>
        <w:jc w:val="both"/>
        <w:ind w:firstLine="2"/>
        <w:spacing w:after="0" w:line="248" w:lineRule="auto"/>
        <w:tabs>
          <w:tab w:leader="none" w:pos="50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(including any plea of guilty or nolo contendere) of any criminal act involving fraud, dishonesty, misappropriation, or moral turpitude, or which materially impairs the Executive’s ability to perform the Executive’s duties with the Company. A termination for Cause shall not take effect unless: (1) the Executive is given written notice by the Company of its intention to terminate the Executive for Cause; (2) the notice specifically identifies the particular act or acts or failure or failures to act which are the basis for such termination; and (3) where practicable, the notice is given within sixty days of the Company’s learning of such act or acts or failure or failures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07" w:right="339" w:bottom="1440" w:gutter="0" w:footer="0" w:header="0"/>
        </w:sectPr>
      </w:pPr>
    </w:p>
    <w:bookmarkStart w:id="69" w:name="page70"/>
    <w:bookmarkEnd w:id="69"/>
    <w:p>
      <w:pPr>
        <w:jc w:val="both"/>
        <w:ind w:firstLine="1230"/>
        <w:spacing w:after="0" w:line="262" w:lineRule="auto"/>
        <w:tabs>
          <w:tab w:leader="none" w:pos="18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Without Cause. </w:t>
      </w:r>
      <w:r>
        <w:rPr>
          <w:rFonts w:ascii="Times New Roman" w:cs="Times New Roman" w:eastAsia="Times New Roman" w:hAnsi="Times New Roman"/>
          <w:sz w:val="20"/>
          <w:szCs w:val="20"/>
          <w:color w:val="auto"/>
        </w:rPr>
        <w:t>The Company may terminate the Executive’s employment at any time Without Cause. A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Without Cause</w:t>
      </w:r>
      <w:r>
        <w:rPr>
          <w:rFonts w:ascii="Times New Roman" w:cs="Times New Roman" w:eastAsia="Times New Roman" w:hAnsi="Times New Roman"/>
          <w:sz w:val="20"/>
          <w:szCs w:val="20"/>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15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by the Executive for Good Reason.</w:t>
      </w:r>
    </w:p>
    <w:p>
      <w:pPr>
        <w:spacing w:after="0" w:line="204" w:lineRule="exact"/>
        <w:rPr>
          <w:rFonts w:ascii="Times New Roman" w:cs="Times New Roman" w:eastAsia="Times New Roman" w:hAnsi="Times New Roman"/>
          <w:sz w:val="20"/>
          <w:szCs w:val="20"/>
          <w:color w:val="auto"/>
        </w:rPr>
      </w:pPr>
    </w:p>
    <w:p>
      <w:pPr>
        <w:jc w:val="both"/>
        <w:ind w:firstLine="1844"/>
        <w:spacing w:after="0" w:line="247" w:lineRule="auto"/>
        <w:tabs>
          <w:tab w:leader="none" w:pos="244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Not in Connection with a Change in Control. </w:t>
      </w:r>
      <w:r>
        <w:rPr>
          <w:rFonts w:ascii="Times New Roman" w:cs="Times New Roman" w:eastAsia="Times New Roman" w:hAnsi="Times New Roman"/>
          <w:sz w:val="20"/>
          <w:szCs w:val="20"/>
          <w:color w:val="auto"/>
        </w:rPr>
        <w:t>At any time during the Term of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within the period commencing one month prior to and ending twelve months following a Change in Control (as defined below in Section 8(e)(ii)), the Executive may terminate the Executive’s employment with the Company for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Executive’s employment may be transferred, assigned, or re-assigned to Ross Stores, Inc. or a division, affiliate, or subsidiary of Ross Stores, Inc.; the division, affiliate, or subsidiary with respect to which the Executive is performing services may be reorganized; and the Executive’s direct reports or the person or title of the person to whom the Executive reports may be changed; and no such transfer, assignment, re-assignment, reorganization, or change shall constitute “Good Reason” for the Executive’s termination of employment under this Section 6(e)(i);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78"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5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in Connection with a Change in Control. </w:t>
      </w:r>
      <w:r>
        <w:rPr>
          <w:rFonts w:ascii="Times New Roman" w:cs="Times New Roman" w:eastAsia="Times New Roman" w:hAnsi="Times New Roman"/>
          <w:sz w:val="20"/>
          <w:szCs w:val="20"/>
          <w:color w:val="auto"/>
        </w:rPr>
        <w:t>Within the period commencing a month prior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 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(iv) a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03" w:right="33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20"/>
          <w:szCs w:val="20"/>
          <w:color w:val="auto"/>
        </w:rPr>
        <w:t>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80" w:lineRule="exact"/>
        <w:rPr>
          <w:sz w:val="20"/>
          <w:szCs w:val="20"/>
          <w:color w:val="auto"/>
        </w:rPr>
      </w:pPr>
    </w:p>
    <w:p>
      <w:pPr>
        <w:jc w:val="both"/>
        <w:ind w:firstLine="1230"/>
        <w:spacing w:after="0" w:line="262" w:lineRule="auto"/>
        <w:tabs>
          <w:tab w:leader="none" w:pos="183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Voluntary Termination. </w:t>
      </w:r>
      <w:r>
        <w:rPr>
          <w:rFonts w:ascii="Times New Roman" w:cs="Times New Roman" w:eastAsia="Times New Roman" w:hAnsi="Times New Roman"/>
          <w:sz w:val="20"/>
          <w:szCs w:val="20"/>
          <w:color w:val="auto"/>
        </w:rPr>
        <w:t>The Executive may voluntarily resign from the Executive’s employment with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time (a “</w:t>
      </w:r>
      <w:r>
        <w:rPr>
          <w:rFonts w:ascii="Times New Roman" w:cs="Times New Roman" w:eastAsia="Times New Roman" w:hAnsi="Times New Roman"/>
          <w:sz w:val="20"/>
          <w:szCs w:val="20"/>
          <w:u w:val="single" w:color="auto"/>
          <w:color w:val="auto"/>
        </w:rPr>
        <w:t>Voluntary Termination</w:t>
      </w:r>
      <w:r>
        <w:rPr>
          <w:rFonts w:ascii="Times New Roman" w:cs="Times New Roman" w:eastAsia="Times New Roman" w:hAnsi="Times New Roman"/>
          <w:sz w:val="20"/>
          <w:szCs w:val="20"/>
          <w:color w:val="auto"/>
        </w:rPr>
        <w:t>”). A voluntary resignation from employment by the Executive for Good Reason pursuant to Section 6(e)(i) shall not be deemed a Voluntary Termination.</w:t>
      </w:r>
    </w:p>
    <w:p>
      <w:pPr>
        <w:spacing w:after="0" w:line="154" w:lineRule="exact"/>
        <w:rPr>
          <w:rFonts w:ascii="Times New Roman" w:cs="Times New Roman" w:eastAsia="Times New Roman" w:hAnsi="Times New Roman"/>
          <w:sz w:val="20"/>
          <w:szCs w:val="20"/>
          <w:color w:val="auto"/>
        </w:rPr>
      </w:pPr>
    </w:p>
    <w:p>
      <w:pPr>
        <w:ind w:firstLine="1230"/>
        <w:spacing w:after="0" w:line="299" w:lineRule="auto"/>
        <w:tabs>
          <w:tab w:leader="none" w:pos="184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Non-Renewal Termination. </w:t>
      </w:r>
      <w:r>
        <w:rPr>
          <w:rFonts w:ascii="Times New Roman" w:cs="Times New Roman" w:eastAsia="Times New Roman" w:hAnsi="Times New Roman"/>
          <w:sz w:val="19"/>
          <w:szCs w:val="19"/>
          <w:color w:val="auto"/>
        </w:rPr>
        <w:t>If the Company does not provide the Executive an Extension Notice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1(c), this Agreement shall automatically expire at the end of the then current Term of Employment (a “</w:t>
      </w:r>
      <w:r>
        <w:rPr>
          <w:rFonts w:ascii="Times New Roman" w:cs="Times New Roman" w:eastAsia="Times New Roman" w:hAnsi="Times New Roman"/>
          <w:sz w:val="19"/>
          <w:szCs w:val="19"/>
          <w:u w:val="single" w:color="auto"/>
          <w:color w:val="auto"/>
        </w:rPr>
        <w:t>Non-Renewal Termination</w:t>
      </w:r>
      <w:r>
        <w:rPr>
          <w:rFonts w:ascii="Times New Roman" w:cs="Times New Roman" w:eastAsia="Times New Roman" w:hAnsi="Times New Roman"/>
          <w:sz w:val="19"/>
          <w:szCs w:val="19"/>
          <w:color w:val="auto"/>
        </w:rPr>
        <w:t>”).</w:t>
      </w:r>
    </w:p>
    <w:p>
      <w:pPr>
        <w:spacing w:after="0" w:line="133" w:lineRule="exact"/>
        <w:rPr>
          <w:rFonts w:ascii="Times New Roman" w:cs="Times New Roman" w:eastAsia="Times New Roman" w:hAnsi="Times New Roman"/>
          <w:sz w:val="19"/>
          <w:szCs w:val="19"/>
          <w:color w:val="auto"/>
        </w:rPr>
      </w:pPr>
    </w:p>
    <w:p>
      <w:pPr>
        <w:ind w:left="1220" w:hanging="604"/>
        <w:spacing w:after="0"/>
        <w:tabs>
          <w:tab w:leader="none" w:pos="12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and Effective Date of Termination.</w:t>
      </w:r>
    </w:p>
    <w:p>
      <w:pPr>
        <w:spacing w:after="0" w:line="204"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termination of the Executive’s employment by the Company or by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(other than as a result of the death of the Executive, a Non-Renewal Termination described in Section 6(g), or a Voluntary Termination described in Section 6(f)) shall be communicated by written notice of termination to the other party hereto. Such notice shall indicate the specific termination provision in this Agreement relied upon and, except in the case of termination Without Cause described in Section 6(d), shall set forth in reasonable detail the facts and circumstances claimed to provide a basis for termination of the Executive’s employment under that provision.</w:t>
      </w:r>
    </w:p>
    <w:p>
      <w:pPr>
        <w:spacing w:after="0" w:line="162"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of Termination. </w:t>
      </w:r>
      <w:r>
        <w:rPr>
          <w:rFonts w:ascii="Times New Roman" w:cs="Times New Roman" w:eastAsia="Times New Roman" w:hAnsi="Times New Roman"/>
          <w:sz w:val="20"/>
          <w:szCs w:val="20"/>
          <w:color w:val="auto"/>
        </w:rPr>
        <w:t>The date of termination of the Executive’s employment shall be:</w:t>
      </w:r>
    </w:p>
    <w:p>
      <w:pPr>
        <w:spacing w:after="0" w:line="221" w:lineRule="exact"/>
        <w:rPr>
          <w:rFonts w:ascii="Times New Roman" w:cs="Times New Roman" w:eastAsia="Times New Roman" w:hAnsi="Times New Roman"/>
          <w:sz w:val="20"/>
          <w:szCs w:val="20"/>
          <w:color w:val="auto"/>
        </w:rPr>
      </w:pPr>
    </w:p>
    <w:p>
      <w:pPr>
        <w:ind w:left="2460" w:hanging="616"/>
        <w:spacing w:after="0"/>
        <w:tabs>
          <w:tab w:leader="none" w:pos="2460"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the Executive’s death, the date of the Executive’s death;</w:t>
      </w:r>
    </w:p>
    <w:p>
      <w:pPr>
        <w:spacing w:after="0" w:line="204" w:lineRule="exact"/>
        <w:rPr>
          <w:rFonts w:ascii="Times New Roman" w:cs="Times New Roman" w:eastAsia="Times New Roman" w:hAnsi="Times New Roman"/>
          <w:sz w:val="20"/>
          <w:szCs w:val="20"/>
          <w:color w:val="auto"/>
        </w:rPr>
      </w:pPr>
    </w:p>
    <w:p>
      <w:pPr>
        <w:jc w:val="both"/>
        <w:ind w:firstLine="1844"/>
        <w:spacing w:after="0" w:line="260" w:lineRule="auto"/>
        <w:tabs>
          <w:tab w:leader="none" w:pos="2452"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w:t>
      </w:r>
    </w:p>
    <w:p>
      <w:pPr>
        <w:spacing w:after="0" w:line="160" w:lineRule="exact"/>
        <w:rPr>
          <w:rFonts w:ascii="Times New Roman" w:cs="Times New Roman" w:eastAsia="Times New Roman" w:hAnsi="Times New Roman"/>
          <w:sz w:val="20"/>
          <w:szCs w:val="20"/>
          <w:color w:val="auto"/>
        </w:rPr>
      </w:pPr>
    </w:p>
    <w:p>
      <w:pPr>
        <w:jc w:val="both"/>
        <w:ind w:firstLine="1844"/>
        <w:spacing w:after="0" w:line="258" w:lineRule="auto"/>
        <w:tabs>
          <w:tab w:leader="none" w:pos="2456"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by the Executive as a Voluntary Termination, the effective date shall be a date mutually agreed to by the Company and the Executive, or if the Executive’s employment is terminated for any other reason by either party (other than Voluntary Termination), the date on which a notice of termination is delivered to the other party or, in the event of the Company’s termination of the Executive, such date as the Company may specify in such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07" w:right="339" w:bottom="1440" w:gutter="0" w:footer="0" w:header="0"/>
        </w:sectPr>
      </w:pPr>
    </w:p>
    <w:bookmarkStart w:id="71" w:name="page72"/>
    <w:bookmarkEnd w:id="71"/>
    <w:p>
      <w:pPr>
        <w:ind w:firstLine="1844"/>
        <w:spacing w:after="0" w:line="268" w:lineRule="auto"/>
        <w:tabs>
          <w:tab w:leader="none" w:pos="2445" w:val="left"/>
        </w:tabs>
        <w:numPr>
          <w:ilvl w:val="3"/>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Agreement expires pursuant to a Non-Renewal Termination described in Section 6(g), the parties’ employment relationship shall terminate on the last day of the then current Term of Employment without any notice.</w:t>
      </w:r>
    </w:p>
    <w:p>
      <w:pPr>
        <w:spacing w:after="0" w:line="160"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 Upon Termination.</w:t>
      </w:r>
    </w:p>
    <w:p>
      <w:pPr>
        <w:spacing w:after="0" w:line="204" w:lineRule="exact"/>
        <w:rPr>
          <w:rFonts w:ascii="Times New Roman" w:cs="Times New Roman" w:eastAsia="Times New Roman" w:hAnsi="Times New Roman"/>
          <w:sz w:val="20"/>
          <w:szCs w:val="20"/>
          <w:color w:val="auto"/>
        </w:rPr>
      </w:pPr>
    </w:p>
    <w:p>
      <w:pPr>
        <w:jc w:val="both"/>
        <w:ind w:firstLine="1230"/>
        <w:spacing w:after="0" w:line="248" w:lineRule="auto"/>
        <w:tabs>
          <w:tab w:leader="none" w:pos="1842"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Due To Disability, Without Cause, or For Good Reason. </w:t>
      </w:r>
      <w:r>
        <w:rPr>
          <w:rFonts w:ascii="Times New Roman" w:cs="Times New Roman" w:eastAsia="Times New Roman" w:hAnsi="Times New Roman"/>
          <w:sz w:val="20"/>
          <w:szCs w:val="20"/>
          <w:color w:val="auto"/>
        </w:rPr>
        <w:t>If the Executive’s employment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 provided that within sixty days following the Executive’s termination of employment (i) the Executive has executed and delivered to the Company a general release of claims against the Company and its subsidiaries, affiliates, stockholders, directors, officers, employees, agents, 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(ii) the Release has become irrevocable:</w:t>
      </w:r>
    </w:p>
    <w:p>
      <w:pPr>
        <w:spacing w:after="0" w:line="181" w:lineRule="exact"/>
        <w:rPr>
          <w:rFonts w:ascii="Times New Roman" w:cs="Times New Roman" w:eastAsia="Times New Roman" w:hAnsi="Times New Roman"/>
          <w:sz w:val="20"/>
          <w:szCs w:val="20"/>
          <w:color w:val="auto"/>
        </w:rPr>
      </w:pPr>
    </w:p>
    <w:p>
      <w:pPr>
        <w:jc w:val="both"/>
        <w:ind w:firstLine="1844"/>
        <w:spacing w:after="0" w:line="251" w:lineRule="auto"/>
        <w:tabs>
          <w:tab w:leader="none" w:pos="2449" w:val="left"/>
        </w:tabs>
        <w:numPr>
          <w:ilvl w:val="3"/>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Commencing on the sixtieth day after the date of the Executive's termination of employment,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continue to pay to the Executive the 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178" w:lineRule="exact"/>
        <w:rPr>
          <w:rFonts w:ascii="Times New Roman" w:cs="Times New Roman" w:eastAsia="Times New Roman" w:hAnsi="Times New Roman"/>
          <w:sz w:val="20"/>
          <w:szCs w:val="20"/>
          <w:color w:val="auto"/>
        </w:rPr>
      </w:pPr>
    </w:p>
    <w:p>
      <w:pPr>
        <w:jc w:val="both"/>
        <w:ind w:firstLine="1844"/>
        <w:spacing w:after="0" w:line="269" w:lineRule="auto"/>
        <w:tabs>
          <w:tab w:leader="none" w:pos="2452" w:val="left"/>
        </w:tabs>
        <w:numPr>
          <w:ilvl w:val="3"/>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Bonus. </w:t>
      </w:r>
      <w:r>
        <w:rPr>
          <w:rFonts w:ascii="Times New Roman" w:cs="Times New Roman" w:eastAsia="Times New Roman" w:hAnsi="Times New Roman"/>
          <w:sz w:val="19"/>
          <w:szCs w:val="19"/>
          <w:color w:val="auto"/>
        </w:rPr>
        <w:t>The Company shall continue to pay to the Executive an annual bonus through the remainder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of Employment then in effect; provided, however, that the amount of the annual bonus determined in accordance with this Section 8(a)</w:t>
      </w:r>
    </w:p>
    <w:p>
      <w:pPr>
        <w:spacing w:after="0" w:line="1" w:lineRule="exact"/>
        <w:rPr>
          <w:rFonts w:ascii="Times New Roman" w:cs="Times New Roman" w:eastAsia="Times New Roman" w:hAnsi="Times New Roman"/>
          <w:sz w:val="19"/>
          <w:szCs w:val="19"/>
          <w:color w:val="auto"/>
        </w:rPr>
      </w:pPr>
    </w:p>
    <w:p>
      <w:pPr>
        <w:jc w:val="both"/>
        <w:ind w:firstLine="2"/>
        <w:spacing w:after="0" w:line="246" w:lineRule="auto"/>
        <w:tabs>
          <w:tab w:leader="none" w:pos="29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fiscal year of the Company (“Fiscal Year”) in which such Term of Employment ends shall be prorated on the basis of the number of days of such Term of Employment occurring within such Fiscal Year. The amount of each annual bonus payable pursuant to this Section 8(a) (ii),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 shall be paid on the later of the date they would otherwise be paid in accordance with the applicable Company bonus plan or sixty days after the date of the Executive's termination of employment.</w:t>
      </w:r>
    </w:p>
    <w:p>
      <w:pPr>
        <w:spacing w:after="0" w:line="181"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6"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07" w:right="339" w:bottom="1440" w:gutter="0" w:footer="0" w:header="0"/>
        </w:sectPr>
      </w:pPr>
    </w:p>
    <w:bookmarkStart w:id="72" w:name="page73"/>
    <w:bookmarkEnd w:id="72"/>
    <w:p>
      <w:pPr>
        <w:jc w:val="both"/>
        <w:ind w:firstLine="1844"/>
        <w:spacing w:after="0" w:line="247" w:lineRule="auto"/>
        <w:tabs>
          <w:tab w:leader="none" w:pos="24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according to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84"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5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(as defined in the Executive's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of Performance Shares and Performance Share Agreement from the Company (collectively the "</w:t>
      </w:r>
      <w:r>
        <w:rPr>
          <w:rFonts w:ascii="Times New Roman" w:cs="Times New Roman" w:eastAsia="Times New Roman" w:hAnsi="Times New Roman"/>
          <w:sz w:val="20"/>
          <w:szCs w:val="20"/>
          <w:u w:val="single" w:color="auto"/>
          <w:color w:val="auto"/>
        </w:rPr>
        <w:t>Performance Share Agreement</w:t>
      </w:r>
      <w:r>
        <w:rPr>
          <w:rFonts w:ascii="Times New Roman" w:cs="Times New Roman" w:eastAsia="Times New Roman" w:hAnsi="Times New Roman"/>
          <w:sz w:val="20"/>
          <w:szCs w:val="20"/>
          <w:color w:val="auto"/>
        </w:rPr>
        <w:t>")) next following the Executive's date of termination of employment, the number of Performance Shares that shall become Vested Performance Shares (as defined in the Performance Share Agreement)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81" w:lineRule="exact"/>
        <w:rPr>
          <w:rFonts w:ascii="Times New Roman" w:cs="Times New Roman" w:eastAsia="Times New Roman" w:hAnsi="Times New Roman"/>
          <w:sz w:val="20"/>
          <w:szCs w:val="20"/>
          <w:color w:val="auto"/>
        </w:rPr>
      </w:pPr>
    </w:p>
    <w:p>
      <w:pPr>
        <w:jc w:val="both"/>
        <w:ind w:firstLine="1844"/>
        <w:spacing w:after="0" w:line="255" w:lineRule="auto"/>
        <w:tabs>
          <w:tab w:leader="none" w:pos="24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160" w:lineRule="exact"/>
        <w:rPr>
          <w:rFonts w:ascii="Times New Roman" w:cs="Times New Roman" w:eastAsia="Times New Roman" w:hAnsi="Times New Roman"/>
          <w:sz w:val="20"/>
          <w:szCs w:val="20"/>
          <w:color w:val="auto"/>
        </w:rPr>
      </w:pPr>
    </w:p>
    <w:p>
      <w:pPr>
        <w:jc w:val="both"/>
        <w:ind w:firstLine="1844"/>
        <w:spacing w:after="0" w:line="252" w:lineRule="auto"/>
        <w:tabs>
          <w:tab w:leader="none" w:pos="244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 dental, vision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a dependent will end when the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03"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the lesser of (A) 18 months after the termination of the Executive’s employment or (B) the remainder of the Term of Employment, and </w:t>
      </w:r>
      <w:r>
        <w:rPr>
          <w:rFonts w:ascii="Times New Roman" w:cs="Times New Roman" w:eastAsia="Times New Roman" w:hAnsi="Times New Roman"/>
          <w:sz w:val="19"/>
          <w:szCs w:val="19"/>
          <w:b w:val="1"/>
          <w:bCs w:val="1"/>
          <w:u w:val="single" w:color="auto"/>
          <w:color w:val="auto"/>
        </w:rPr>
        <w:t>provided further</w:t>
      </w:r>
      <w:r>
        <w:rPr>
          <w:rFonts w:ascii="Times New Roman" w:cs="Times New Roman" w:eastAsia="Times New Roman" w:hAnsi="Times New Roman"/>
          <w:sz w:val="19"/>
          <w:szCs w:val="19"/>
          <w:color w:val="auto"/>
        </w:rPr>
        <w:t xml:space="preserve"> that (1) any such health care coverage or reimbursement for health care coverage shall cease at such time that the Executive becomes eligible for health care coverage through another employer and</w:t>
      </w:r>
    </w:p>
    <w:p>
      <w:pPr>
        <w:spacing w:after="0" w:line="2" w:lineRule="exact"/>
        <w:rPr>
          <w:sz w:val="20"/>
          <w:szCs w:val="20"/>
          <w:color w:val="auto"/>
        </w:rPr>
      </w:pPr>
    </w:p>
    <w:p>
      <w:pPr>
        <w:jc w:val="both"/>
        <w:ind w:firstLine="2"/>
        <w:spacing w:after="0" w:line="253" w:lineRule="auto"/>
        <w:tabs>
          <w:tab w:leader="none" w:pos="28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54" w:lineRule="exact"/>
        <w:rPr>
          <w:sz w:val="20"/>
          <w:szCs w:val="20"/>
          <w:color w:val="auto"/>
        </w:rPr>
      </w:pPr>
    </w:p>
    <w:p>
      <w:pPr>
        <w:ind w:firstLine="614"/>
        <w:spacing w:after="0" w:line="234" w:lineRule="auto"/>
        <w:rPr>
          <w:sz w:val="20"/>
          <w:szCs w:val="20"/>
          <w:color w:val="auto"/>
        </w:rPr>
      </w:pPr>
      <w:r>
        <w:rPr>
          <w:rFonts w:ascii="Times New Roman" w:cs="Times New Roman" w:eastAsia="Times New Roman" w:hAnsi="Times New Roman"/>
          <w:sz w:val="20"/>
          <w:szCs w:val="20"/>
          <w:color w:val="auto"/>
        </w:rPr>
        <w:t>The Company shall have no further obligations to the Executive as a result of termination of employment described in this Section 8(a) except as set forth in Section 13.</w:t>
      </w:r>
    </w:p>
    <w:p>
      <w:pPr>
        <w:spacing w:after="0" w:line="187" w:lineRule="exact"/>
        <w:rPr>
          <w:sz w:val="20"/>
          <w:szCs w:val="20"/>
          <w:color w:val="auto"/>
        </w:rPr>
      </w:pPr>
    </w:p>
    <w:p>
      <w:pPr>
        <w:jc w:val="both"/>
        <w:ind w:firstLine="1230"/>
        <w:spacing w:after="0" w:line="261" w:lineRule="auto"/>
        <w:tabs>
          <w:tab w:leader="none" w:pos="184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for Cause or Voluntary Termination. </w:t>
      </w:r>
      <w:r>
        <w:rPr>
          <w:rFonts w:ascii="Times New Roman" w:cs="Times New Roman" w:eastAsia="Times New Roman" w:hAnsi="Times New Roman"/>
          <w:sz w:val="19"/>
          <w:szCs w:val="19"/>
          <w:color w:val="auto"/>
        </w:rPr>
        <w:t>If the Executive’s employment terminates pursuant to 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 terms, any restricted stock, performance share awards, or other equity awards that were granted to the Executive by the Company 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174" w:lineRule="exact"/>
        <w:rPr>
          <w:rFonts w:ascii="Times New Roman" w:cs="Times New Roman" w:eastAsia="Times New Roman" w:hAnsi="Times New Roman"/>
          <w:sz w:val="19"/>
          <w:szCs w:val="19"/>
          <w:color w:val="auto"/>
        </w:rPr>
      </w:pPr>
    </w:p>
    <w:p>
      <w:pPr>
        <w:jc w:val="both"/>
        <w:ind w:firstLine="1230"/>
        <w:spacing w:after="0" w:line="248" w:lineRule="auto"/>
        <w:tabs>
          <w:tab w:leader="none" w:pos="184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If the Executive’s employment terminates pursuant to Section 6(a) [Death], (i) the Executive’s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pro-rated for the number of days the Executive is employed during such fiscal year until the Executive’s death; (iii) any shares of restricted stock granted to the Executive by the Company at least 12 months prior to the Executive’s date of death that are unvested as of such date shall immediately become fully vested and any shares of restricted stock granted to the Executive by the Company within the 12-month period ending on the Executive’s date of death that are unvested as of such date shall automatically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07" w:right="339" w:bottom="1440" w:gutter="0" w:footer="0" w:header="0"/>
        </w:sectPr>
      </w:pPr>
    </w:p>
    <w:bookmarkStart w:id="74" w:name="page75"/>
    <w:bookmarkEnd w:id="74"/>
    <w:p>
      <w:pPr>
        <w:spacing w:after="0" w:line="268" w:lineRule="auto"/>
        <w:rPr>
          <w:sz w:val="20"/>
          <w:szCs w:val="20"/>
          <w:color w:val="auto"/>
        </w:rPr>
      </w:pPr>
      <w:r>
        <w:rPr>
          <w:rFonts w:ascii="Times New Roman" w:cs="Times New Roman" w:eastAsia="Times New Roman" w:hAnsi="Times New Roman"/>
          <w:sz w:val="20"/>
          <w:szCs w:val="20"/>
          <w:color w:val="auto"/>
        </w:rPr>
        <w:t>forfeited and the Executive shall have no further rights with respect to such restricted stock; and (iv) the Company shall waive any reacquisition or repayment rights for dividends paid on restricted stock prior to the Executive’s death.</w:t>
      </w:r>
    </w:p>
    <w:p>
      <w:pPr>
        <w:spacing w:after="0" w:line="160" w:lineRule="exact"/>
        <w:rPr>
          <w:sz w:val="20"/>
          <w:szCs w:val="20"/>
          <w:color w:val="auto"/>
        </w:rPr>
      </w:pPr>
    </w:p>
    <w:p>
      <w:pPr>
        <w:jc w:val="both"/>
        <w:ind w:firstLine="1844"/>
        <w:spacing w:after="0" w:line="248" w:lineRule="auto"/>
        <w:tabs>
          <w:tab w:leader="none" w:pos="244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next following the Executive's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83" w:lineRule="exact"/>
        <w:rPr>
          <w:rFonts w:ascii="Times New Roman" w:cs="Times New Roman" w:eastAsia="Times New Roman" w:hAnsi="Times New Roman"/>
          <w:sz w:val="20"/>
          <w:szCs w:val="20"/>
          <w:color w:val="auto"/>
        </w:rPr>
      </w:pPr>
    </w:p>
    <w:p>
      <w:pPr>
        <w:jc w:val="both"/>
        <w:ind w:firstLine="1844"/>
        <w:spacing w:after="0" w:line="256" w:lineRule="auto"/>
        <w:tabs>
          <w:tab w:leader="none" w:pos="245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dies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Share Vesting Date, all Unvested Common Shares issued in settlement of the Performance Share Award shall become vested in full effective as of the date of such termination.</w:t>
      </w:r>
    </w:p>
    <w:p>
      <w:pPr>
        <w:spacing w:after="0" w:line="172"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Agreement expires as set forth in Section 6(g) [Non-Renewal Termination],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set forth in Sections 8(d)(i) through (v), provided that within sixty days following the Executive’s termination of employment (i) the Executive has executed and delivered the Release to the Company, and (ii) the Release has become irrevocable:</w:t>
      </w:r>
    </w:p>
    <w:p>
      <w:pPr>
        <w:spacing w:after="0" w:line="162"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49"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Company shall pay the Executive an annual bonus for the fiscal year of the Company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in which the date of the Executive’s termination of employment occurs, which shall be prorated for the number of days of such Fiscal Year that the Executive is employed by the Company. The amount of such annual bonus, prior to proration, shall be equal to the annual bonus that the Executive would have earned under the Company’s bonus plan for the Fiscal Year in which the Executive’s termination of employment occurs had the Executive remained in its employment, contingent on the relevant annual bonus plan performance goals for the year in which the Executive terminates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 shall be paid on the later of the date they would otherwise be paid in accordance with the applicable Company bonus plan or sixty days after the date of the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07" w:right="339" w:bottom="1440" w:gutter="0" w:footer="0" w:header="0"/>
        </w:sectPr>
      </w:pPr>
    </w:p>
    <w:bookmarkStart w:id="75" w:name="page76"/>
    <w:bookmarkEnd w:id="75"/>
    <w:p>
      <w:pPr>
        <w:jc w:val="both"/>
        <w:ind w:firstLine="1844"/>
        <w:spacing w:after="0" w:line="262" w:lineRule="auto"/>
        <w:tabs>
          <w:tab w:leader="none" w:pos="245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54"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5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which have not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365-day year). The pro rata amount of shares vesting through the date of non-renewal shall be calculated by multiplying the number of unvested shares scheduled to vest in each respective vesting year by the ratio of the number of days from the date of grant through the date of non-renewal,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79"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on or next following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of employment,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67"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pursuant to Section 6(g) after the Performance Share Vesting Date, all Unvested Common Shares issued in settlement of the Performance Share Award shall become vested in full effective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03" w:right="339" w:bottom="1440" w:gutter="0" w:footer="0" w:header="0"/>
        </w:sectPr>
      </w:pPr>
    </w:p>
    <w:bookmarkStart w:id="76" w:name="page77"/>
    <w:bookmarkEnd w:id="76"/>
    <w:p>
      <w:pPr>
        <w:ind w:left="1840" w:hanging="610"/>
        <w:spacing w:after="0"/>
        <w:tabs>
          <w:tab w:leader="none" w:pos="18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Change in Control Provisions.</w:t>
      </w:r>
    </w:p>
    <w:p>
      <w:pPr>
        <w:spacing w:after="0" w:line="204" w:lineRule="exact"/>
        <w:rPr>
          <w:rFonts w:ascii="Times New Roman" w:cs="Times New Roman" w:eastAsia="Times New Roman" w:hAnsi="Times New Roman"/>
          <w:sz w:val="20"/>
          <w:szCs w:val="20"/>
          <w:color w:val="auto"/>
        </w:rPr>
      </w:pPr>
    </w:p>
    <w:p>
      <w:pPr>
        <w:jc w:val="both"/>
        <w:ind w:firstLine="1844"/>
        <w:spacing w:after="0" w:line="252" w:lineRule="auto"/>
        <w:tabs>
          <w:tab w:leader="none" w:pos="244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of Employment in Connection with a Change in Control. </w:t>
      </w:r>
      <w:r>
        <w:rPr>
          <w:rFonts w:ascii="Times New Roman" w:cs="Times New Roman" w:eastAsia="Times New Roman" w:hAnsi="Times New Roman"/>
          <w:sz w:val="20"/>
          <w:szCs w:val="20"/>
          <w:color w:val="auto"/>
        </w:rPr>
        <w:t>If the Executive’s employment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either by the Company Without Cause (as defined in Section 6(d)) or by the Executive for Good Reason (as defined in Section 6(e) (ii)), in either case within the period commencing one month prior to and ending twelve months following a Change in Control, then, subject to Section 22 [Compliance with Section 409A], the Executive shall be entitled to the compensation and benefits set forth in Sections 8(e)(i)(a) through (e) (in addition to any other payments or benefits provided under this Agreement), provided that within sixty days following the Executive’s termination of employment (i) the Executive has executed and delivered the Release to the Company, and (ii) the Release has become irrevocable:</w:t>
      </w:r>
    </w:p>
    <w:p>
      <w:pPr>
        <w:spacing w:after="0" w:line="164" w:lineRule="exact"/>
        <w:rPr>
          <w:rFonts w:ascii="Times New Roman" w:cs="Times New Roman" w:eastAsia="Times New Roman" w:hAnsi="Times New Roman"/>
          <w:sz w:val="20"/>
          <w:szCs w:val="20"/>
          <w:color w:val="auto"/>
        </w:rPr>
      </w:pPr>
    </w:p>
    <w:p>
      <w:pPr>
        <w:jc w:val="both"/>
        <w:ind w:firstLine="3072"/>
        <w:spacing w:after="0" w:line="255" w:lineRule="auto"/>
        <w:tabs>
          <w:tab w:leader="none" w:pos="3679"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then-current annual base salary, which shall be paid to the Executive sixty days following such termination of employment. The payment under this Section 8(e)(i)(a) shall take the place of any payment under Section 8(a)(i) and the Executive shall not be entitled to receive a payment under Section 8(a)(i) if the Executive is entitled to a payment under this Section 8(e)(i)(a).</w:t>
      </w:r>
    </w:p>
    <w:p>
      <w:pPr>
        <w:spacing w:after="0" w:line="160" w:lineRule="exact"/>
        <w:rPr>
          <w:rFonts w:ascii="Times New Roman" w:cs="Times New Roman" w:eastAsia="Times New Roman" w:hAnsi="Times New Roman"/>
          <w:sz w:val="20"/>
          <w:szCs w:val="20"/>
          <w:color w:val="auto"/>
        </w:rPr>
      </w:pPr>
    </w:p>
    <w:p>
      <w:pPr>
        <w:jc w:val="both"/>
        <w:ind w:firstLine="3072"/>
        <w:spacing w:after="0" w:line="254" w:lineRule="auto"/>
        <w:tabs>
          <w:tab w:leader="none" w:pos="3677"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annual bonus for the Company’s fiscal year then in effect on the date termination of employment occurs, which shall be paid to the Executive sixty days following such termination of employment. The payment under this Section 8(e)(i)(b) shall take the place of any payment under Section 8(a)(ii) and the Executive shall not be entitled to receive a payment under Section 8(a)(ii) if the Executive is entitled to a payment under this Section 8(e)(i)(b).</w:t>
      </w:r>
    </w:p>
    <w:p>
      <w:pPr>
        <w:spacing w:after="0" w:line="164" w:lineRule="exact"/>
        <w:rPr>
          <w:rFonts w:ascii="Times New Roman" w:cs="Times New Roman" w:eastAsia="Times New Roman" w:hAnsi="Times New Roman"/>
          <w:sz w:val="20"/>
          <w:szCs w:val="20"/>
          <w:color w:val="auto"/>
        </w:rPr>
      </w:pPr>
    </w:p>
    <w:p>
      <w:pPr>
        <w:jc w:val="both"/>
        <w:ind w:firstLine="3072"/>
        <w:spacing w:after="0" w:line="267" w:lineRule="auto"/>
        <w:tabs>
          <w:tab w:leader="none" w:pos="3679" w:val="left"/>
        </w:tabs>
        <w:numPr>
          <w:ilvl w:val="2"/>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Equity. </w:t>
      </w:r>
      <w:r>
        <w:rPr>
          <w:rFonts w:ascii="Times New Roman" w:cs="Times New Roman" w:eastAsia="Times New Roman" w:hAnsi="Times New Roman"/>
          <w:sz w:val="19"/>
          <w:szCs w:val="19"/>
          <w:color w:val="auto"/>
        </w:rPr>
        <w:t>All shares of restricted stock granted to the Executive by the Company shall become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vested in full upon the termination. Additionally, if the termination occurs prior to the Performance Share Vesting Date, 100% of the Target Number of Performance Shares shall be deemed Vested Performance Shares effective as of the date of the termination. All Unvested Common Shares issued in settlement of the Performance Share Award shall become vested effective as of the date of such termination. Except as set forth in this Section 8(e),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166" w:lineRule="exact"/>
        <w:rPr>
          <w:rFonts w:ascii="Times New Roman" w:cs="Times New Roman" w:eastAsia="Times New Roman" w:hAnsi="Times New Roman"/>
          <w:sz w:val="19"/>
          <w:szCs w:val="19"/>
          <w:color w:val="auto"/>
        </w:rPr>
      </w:pPr>
    </w:p>
    <w:p>
      <w:pPr>
        <w:jc w:val="both"/>
        <w:ind w:firstLine="3072"/>
        <w:spacing w:after="0" w:line="262" w:lineRule="auto"/>
        <w:tabs>
          <w:tab w:leader="none" w:pos="3677"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Estate Planning. </w:t>
      </w:r>
      <w:r>
        <w:rPr>
          <w:rFonts w:ascii="Times New Roman" w:cs="Times New Roman" w:eastAsia="Times New Roman" w:hAnsi="Times New Roman"/>
          <w:sz w:val="20"/>
          <w:szCs w:val="20"/>
          <w:color w:val="auto"/>
        </w:rPr>
        <w:t>The Executive shall be entitled to reimbursement of the Executive’s 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54" w:lineRule="exact"/>
        <w:rPr>
          <w:rFonts w:ascii="Times New Roman" w:cs="Times New Roman" w:eastAsia="Times New Roman" w:hAnsi="Times New Roman"/>
          <w:sz w:val="20"/>
          <w:szCs w:val="20"/>
          <w:color w:val="auto"/>
        </w:rPr>
      </w:pPr>
    </w:p>
    <w:p>
      <w:pPr>
        <w:jc w:val="both"/>
        <w:ind w:firstLine="3072"/>
        <w:spacing w:after="0" w:line="254" w:lineRule="auto"/>
        <w:tabs>
          <w:tab w:leader="none" w:pos="3679"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Executive with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03" w:right="339" w:bottom="1440" w:gutter="0" w:footer="0" w:header="0"/>
        </w:sectPr>
      </w:pPr>
    </w:p>
    <w:bookmarkStart w:id="77" w:name="page78"/>
    <w:bookmarkEnd w:id="77"/>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coverage, if earlier than the Term of Employment end date; </w:t>
      </w:r>
      <w:r>
        <w:rPr>
          <w:rFonts w:ascii="Times New Roman" w:cs="Times New Roman" w:eastAsia="Times New Roman" w:hAnsi="Times New Roman"/>
          <w:sz w:val="19"/>
          <w:szCs w:val="19"/>
          <w:b w:val="1"/>
          <w:bCs w:val="1"/>
          <w:u w:val="single" w:color="auto"/>
          <w:color w:val="auto"/>
        </w:rPr>
        <w:t>provided, however</w:t>
      </w:r>
      <w:r>
        <w:rPr>
          <w:rFonts w:ascii="Times New Roman" w:cs="Times New Roman" w:eastAsia="Times New Roman" w:hAnsi="Times New Roman"/>
          <w:sz w:val="19"/>
          <w:szCs w:val="19"/>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18 months after the termination of the Executive’s employment; and </w:t>
      </w:r>
      <w:r>
        <w:rPr>
          <w:rFonts w:ascii="Times New Roman" w:cs="Times New Roman" w:eastAsia="Times New Roman" w:hAnsi="Times New Roman"/>
          <w:sz w:val="19"/>
          <w:szCs w:val="19"/>
          <w:b w:val="1"/>
          <w:bCs w:val="1"/>
          <w:u w:val="single" w:color="auto"/>
          <w:color w:val="auto"/>
        </w:rPr>
        <w:t>provided further</w:t>
      </w:r>
      <w:r>
        <w:rPr>
          <w:rFonts w:ascii="Times New Roman" w:cs="Times New Roman" w:eastAsia="Times New Roman" w:hAnsi="Times New Roman"/>
          <w:sz w:val="19"/>
          <w:szCs w:val="19"/>
          <w:color w:val="auto"/>
        </w:rPr>
        <w:t xml:space="preserve"> that (1) any such health care coverage or reimbursement for health care coverage shall cease at such time that the Executive becomes eligible for health care coverage 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60" w:lineRule="exact"/>
        <w:rPr>
          <w:sz w:val="20"/>
          <w:szCs w:val="20"/>
          <w:color w:val="auto"/>
        </w:rPr>
      </w:pPr>
    </w:p>
    <w:p>
      <w:pPr>
        <w:ind w:left="2460" w:hanging="616"/>
        <w:spacing w:after="0"/>
        <w:tabs>
          <w:tab w:leader="none" w:pos="24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Defined.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one or more of the following</w:t>
      </w:r>
    </w:p>
    <w:p>
      <w:pPr>
        <w:spacing w:after="0" w:line="3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Company:</w:t>
      </w:r>
    </w:p>
    <w:p>
      <w:pPr>
        <w:spacing w:after="0" w:line="191" w:lineRule="exact"/>
        <w:rPr>
          <w:rFonts w:ascii="Times New Roman" w:cs="Times New Roman" w:eastAsia="Times New Roman" w:hAnsi="Times New Roman"/>
          <w:sz w:val="20"/>
          <w:szCs w:val="20"/>
          <w:color w:val="auto"/>
        </w:rPr>
      </w:pPr>
    </w:p>
    <w:p>
      <w:pPr>
        <w:jc w:val="both"/>
        <w:ind w:firstLine="2458"/>
        <w:spacing w:after="0" w:line="248" w:lineRule="auto"/>
        <w:tabs>
          <w:tab w:leader="none" w:pos="306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Securities Exchange Act of 1934, as amended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 connection with a public offering of securities; (C) any acquisition by the Company; (D) any acquisition by a trustee or other fiduciary under an employee benefit plan of the Company; or (E) any acquisition by an entity owned directly or indirectly by the stockholders of the Company in substantially the same proportions as their ownership of the voting securities of the Company; or</w:t>
      </w:r>
    </w:p>
    <w:p>
      <w:pPr>
        <w:spacing w:after="0" w:line="174" w:lineRule="exact"/>
        <w:rPr>
          <w:rFonts w:ascii="Times New Roman" w:cs="Times New Roman" w:eastAsia="Times New Roman" w:hAnsi="Times New Roman"/>
          <w:sz w:val="20"/>
          <w:szCs w:val="20"/>
          <w:color w:val="auto"/>
        </w:rPr>
      </w:pPr>
    </w:p>
    <w:p>
      <w:pPr>
        <w:ind w:left="3080" w:hanging="622"/>
        <w:spacing w:after="0"/>
        <w:tabs>
          <w:tab w:leader="none" w:pos="3080"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following events (“</w:t>
      </w:r>
      <w:r>
        <w:rPr>
          <w:rFonts w:ascii="Times New Roman" w:cs="Times New Roman" w:eastAsia="Times New Roman" w:hAnsi="Times New Roman"/>
          <w:sz w:val="19"/>
          <w:szCs w:val="19"/>
          <w:u w:val="single" w:color="auto"/>
          <w:color w:val="auto"/>
        </w:rPr>
        <w:t>Ownership Change Event</w:t>
      </w:r>
      <w:r>
        <w:rPr>
          <w:rFonts w:ascii="Times New Roman" w:cs="Times New Roman" w:eastAsia="Times New Roman" w:hAnsi="Times New Roman"/>
          <w:sz w:val="19"/>
          <w:szCs w:val="19"/>
          <w:color w:val="auto"/>
        </w:rPr>
        <w:t>”) or series of related Ownership Change Events</w:t>
      </w:r>
    </w:p>
    <w:p>
      <w:pPr>
        <w:spacing w:after="0" w:line="38" w:lineRule="exact"/>
        <w:rPr>
          <w:rFonts w:ascii="Times New Roman" w:cs="Times New Roman" w:eastAsia="Times New Roman" w:hAnsi="Times New Roman"/>
          <w:sz w:val="19"/>
          <w:szCs w:val="19"/>
          <w:color w:val="auto"/>
        </w:rPr>
      </w:pPr>
    </w:p>
    <w:p>
      <w:pPr>
        <w:jc w:val="both"/>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(collectively, a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 (B) 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the case may be;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103" w:right="339" w:bottom="1440" w:gutter="0" w:footer="0" w:header="0"/>
        </w:sectPr>
      </w:pPr>
    </w:p>
    <w:bookmarkStart w:id="78" w:name="page79"/>
    <w:bookmarkEnd w:id="78"/>
    <w:p>
      <w:pPr>
        <w:jc w:val="both"/>
        <w:ind w:firstLine="2458"/>
        <w:spacing w:after="0" w:line="251" w:lineRule="auto"/>
        <w:tabs>
          <w:tab w:leader="none" w:pos="306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 (3) are related and to be treated in the aggregate as a single Change in Control, and its determination shall be final, binding and conclusive.</w:t>
      </w:r>
    </w:p>
    <w:p>
      <w:pPr>
        <w:spacing w:after="0" w:line="164" w:lineRule="exact"/>
        <w:rPr>
          <w:rFonts w:ascii="Times New Roman" w:cs="Times New Roman" w:eastAsia="Times New Roman" w:hAnsi="Times New Roman"/>
          <w:sz w:val="20"/>
          <w:szCs w:val="20"/>
          <w:color w:val="auto"/>
        </w:rPr>
      </w:pPr>
    </w:p>
    <w:p>
      <w:pPr>
        <w:jc w:val="both"/>
        <w:ind w:firstLine="1844"/>
        <w:spacing w:after="0" w:line="246" w:lineRule="auto"/>
        <w:tabs>
          <w:tab w:leader="none" w:pos="245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Excise Tax - Best After-Tax Result. </w:t>
      </w:r>
      <w:r>
        <w:rPr>
          <w:rFonts w:ascii="Times New Roman" w:cs="Times New Roman" w:eastAsia="Times New Roman" w:hAnsi="Times New Roman"/>
          <w:sz w:val="20"/>
          <w:szCs w:val="20"/>
          <w:color w:val="auto"/>
        </w:rPr>
        <w:t>In the event that any payment or benefit received or to be received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pursuant to this Agreement or otherwise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subject to the provisions of Section 8(e)(iv), such Payments shall be either (1) provided in full pursuant to the terms of this Agreement or any other applicable agreement, or (2) provided as to such lesser extent which would result in no portion of such Payments being subject to the Excise Tax (“</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whichever of the foregoing amounts, taking into account the applicable federal, state, local, and foreign income, employment and other taxes and the Excise Tax (including, without limitation, any interest or penalties on such taxes), results in the receipt by the Executive, on an after-tax basis, of the greatest amount of payments and benefits provided for hereunder or otherwise, notwithstanding that all or some portion of such Payments may be subject to the Excise Tax. If the Executive’s payments or benefits are delivered to a lesser extent in accordance with this clause (2) above, then the Executive’s aggregate benefits shall be reduced in the following order: (i) cash severance pay that is exempt from Section 409A; (ii) any other cash severance pay; (iii) reimbursement payments under Section 4(c), above; (iv) any restricted stock; (v) any equity awards other than restricted stock and stock options; and (vi) stock options. Unless the Company and the Executive otherwise agree in writing, any determination required under this Section shall be made by an independent advisor designated by the Company and reasonably acceptable to the Executive (“</w:t>
      </w:r>
      <w:r>
        <w:rPr>
          <w:rFonts w:ascii="Times New Roman" w:cs="Times New Roman" w:eastAsia="Times New Roman" w:hAnsi="Times New Roman"/>
          <w:sz w:val="20"/>
          <w:szCs w:val="20"/>
          <w:u w:val="single" w:color="auto"/>
          <w:color w:val="auto"/>
        </w:rPr>
        <w:t>Independent Advisor</w:t>
      </w:r>
      <w:r>
        <w:rPr>
          <w:rFonts w:ascii="Times New Roman" w:cs="Times New Roman" w:eastAsia="Times New Roman" w:hAnsi="Times New Roman"/>
          <w:sz w:val="20"/>
          <w:szCs w:val="20"/>
          <w:color w:val="auto"/>
        </w:rPr>
        <w:t>”), whose determination shall be conclusive and binding upon the Executive and the Company for all purposes. For purposes of making the calculations required under this Section, Independent Advisor may make reasonable assumptions and approximations concerning applicable taxes and may rely on reasonable, good faith interpretations concerning the application of Sections 280G and 4999 of the Code; provided that Independent Advisor shall assume that the Executive pays all taxes at the highest marginal rate. The Company and the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8(e)(iii) applies, then based on the information provided to the Executive and the Company by Independent Advisor, the Executive may, in the Executive’s sole discretion and within thirty days of the date on which the Executive is provided with the information prepared by Independent Advisor, determine which and how much of the Payments (including the accelerated vesting of equity compensation awards) to be otherwise received by the Executive shall be eliminated or reduced (as long as after such determination the value (as calculated by Independent Advisor in accordance with the provisions of Sections 280G and 4999 of the Code) of the amounts payable or distributable to the Executive equals the Reduced Amount). If the Internal Revenue Service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0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determines that any Payment is subject to the Excise Tax, then Section 8(e)(iv) hereof shall apply, and the enforcement of Section 8(e)</w:t>
      </w:r>
    </w:p>
    <w:p>
      <w:pPr>
        <w:spacing w:after="0" w:line="34" w:lineRule="exact"/>
        <w:rPr>
          <w:sz w:val="20"/>
          <w:szCs w:val="20"/>
          <w:color w:val="auto"/>
        </w:rPr>
      </w:pPr>
    </w:p>
    <w:p>
      <w:pPr>
        <w:ind w:left="340" w:hanging="338"/>
        <w:spacing w:after="0"/>
        <w:tabs>
          <w:tab w:leader="none" w:pos="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the exclusive remedy to the Company.</w:t>
      </w:r>
    </w:p>
    <w:p>
      <w:pPr>
        <w:spacing w:after="0" w:line="191" w:lineRule="exact"/>
        <w:rPr>
          <w:rFonts w:ascii="Times New Roman" w:cs="Times New Roman" w:eastAsia="Times New Roman" w:hAnsi="Times New Roman"/>
          <w:sz w:val="20"/>
          <w:szCs w:val="20"/>
          <w:color w:val="auto"/>
        </w:rPr>
      </w:pPr>
    </w:p>
    <w:p>
      <w:pPr>
        <w:jc w:val="both"/>
        <w:ind w:firstLine="1844"/>
        <w:spacing w:after="0" w:line="266" w:lineRule="auto"/>
        <w:tabs>
          <w:tab w:leader="none" w:pos="2445"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Adjustments. </w:t>
      </w:r>
      <w:r>
        <w:rPr>
          <w:rFonts w:ascii="Times New Roman" w:cs="Times New Roman" w:eastAsia="Times New Roman" w:hAnsi="Times New Roman"/>
          <w:sz w:val="19"/>
          <w:szCs w:val="19"/>
          <w:color w:val="auto"/>
        </w:rPr>
        <w:t>If, notwithstanding any reduction described in Section 8(e)(iii) (or in the absence of any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reduction), the IRS determines that the Executive is liable for the Excise Tax as a result of the receipt of one or more Payments, then the Executive shall be obligated to surrender or pay back to the Company, within 120 days after a final IRS determination, an amount of such payments or benefits equal to the “Repayment Amount.” The Repayment Amount with respect to such Payments shall be the smallest such amount, if any, as shall be required to be surrendered or paid to the Company so that the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the Executive from the Payments. If the Excise Tax is not eliminated pursuant to this Section, the Executive shall pay the Excise Tax.</w:t>
      </w:r>
    </w:p>
    <w:p>
      <w:pPr>
        <w:spacing w:after="0" w:line="153" w:lineRule="exact"/>
        <w:rPr>
          <w:rFonts w:ascii="Times New Roman" w:cs="Times New Roman" w:eastAsia="Times New Roman" w:hAnsi="Times New Roman"/>
          <w:sz w:val="19"/>
          <w:szCs w:val="19"/>
          <w:color w:val="auto"/>
        </w:rPr>
      </w:pPr>
    </w:p>
    <w:p>
      <w:pPr>
        <w:jc w:val="both"/>
        <w:ind w:firstLine="1844"/>
        <w:spacing w:after="0" w:line="258" w:lineRule="auto"/>
        <w:tabs>
          <w:tab w:leader="none" w:pos="2451"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Performance Share Award. </w:t>
      </w:r>
      <w:r>
        <w:rPr>
          <w:rFonts w:ascii="Times New Roman" w:cs="Times New Roman" w:eastAsia="Times New Roman" w:hAnsi="Times New Roman"/>
          <w:sz w:val="20"/>
          <w:szCs w:val="20"/>
          <w:color w:val="auto"/>
        </w:rPr>
        <w:t>In the event of a Change in Control,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surviving, continuing, successor, or purchasing corporation or other business entity or parent thereof, as the case may be (the “Acquirer”),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 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w:t>
      </w:r>
      <w:r>
        <w:rPr>
          <w:rFonts w:ascii="Times New Roman" w:cs="Times New Roman" w:eastAsia="Times New Roman" w:hAnsi="Times New Roman"/>
          <w:sz w:val="19"/>
          <w:szCs w:val="19"/>
          <w:color w:val="auto"/>
        </w:rPr>
        <w:t>or the outstanding Performance Share Awards in connection with a Change in Control prior to the Performance Share Vesting Date,</w:t>
      </w:r>
    </w:p>
    <w:p>
      <w:pPr>
        <w:spacing w:after="0" w:line="4" w:lineRule="exact"/>
        <w:rPr>
          <w:rFonts w:ascii="Times New Roman" w:cs="Times New Roman" w:eastAsia="Times New Roman" w:hAnsi="Times New Roman"/>
          <w:sz w:val="20"/>
          <w:szCs w:val="20"/>
          <w:color w:val="auto"/>
        </w:rPr>
      </w:pPr>
    </w:p>
    <w:p>
      <w:pPr>
        <w:jc w:val="both"/>
        <w:ind w:firstLine="2"/>
        <w:spacing w:after="0" w:line="246" w:lineRule="auto"/>
        <w:tabs>
          <w:tab w:leader="none" w:pos="25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Number of Performance Shares shall become fully vested and such Performance Shares shall be deemed Vested Performance Shares and one Vested Common Share shall be issued to the Executive for each such Vested Performance Share immediately prior to the Change in Control and (ii) 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107" w:right="339" w:bottom="1440" w:gutter="0" w:footer="0" w:header="0"/>
        </w:sectPr>
      </w:pPr>
    </w:p>
    <w:bookmarkStart w:id="80" w:name="page81"/>
    <w:bookmarkEnd w:id="80"/>
    <w:p>
      <w:pPr>
        <w:jc w:val="both"/>
        <w:ind w:firstLine="1844"/>
        <w:spacing w:after="0" w:line="248" w:lineRule="auto"/>
        <w:tabs>
          <w:tab w:leader="none" w:pos="2445"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Restricted Stock Award. </w:t>
      </w:r>
      <w:r>
        <w:rPr>
          <w:rFonts w:ascii="Times New Roman" w:cs="Times New Roman" w:eastAsia="Times New Roman" w:hAnsi="Times New Roman"/>
          <w:sz w:val="20"/>
          <w:szCs w:val="20"/>
          <w:color w:val="auto"/>
        </w:rPr>
        <w:t>In the event of a Change in Control, the Acquirer,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174"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Employment Obligations.</w:t>
      </w:r>
    </w:p>
    <w:p>
      <w:pPr>
        <w:spacing w:after="0" w:line="204" w:lineRule="exact"/>
        <w:rPr>
          <w:rFonts w:ascii="Times New Roman" w:cs="Times New Roman" w:eastAsia="Times New Roman" w:hAnsi="Times New Roman"/>
          <w:sz w:val="20"/>
          <w:szCs w:val="20"/>
          <w:color w:val="auto"/>
        </w:rPr>
      </w:pPr>
    </w:p>
    <w:p>
      <w:pPr>
        <w:jc w:val="both"/>
        <w:ind w:firstLine="1230"/>
        <w:spacing w:after="0" w:line="263" w:lineRule="auto"/>
        <w:tabs>
          <w:tab w:leader="none" w:pos="1842"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Employee Acknowledgement. </w:t>
      </w:r>
      <w:r>
        <w:rPr>
          <w:rFonts w:ascii="Times New Roman" w:cs="Times New Roman" w:eastAsia="Times New Roman" w:hAnsi="Times New Roman"/>
          <w:sz w:val="19"/>
          <w:szCs w:val="19"/>
          <w:color w:val="auto"/>
        </w:rPr>
        <w:t>The Company and the Executive acknowledge that (i) the Company has a special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 and constitutes valuable proprietary assets of the Company, and the Company will suffer substantial damage and irreparable harm which will be difficult to compute if, during the Term of Employment or thereafter, the Executive should disclose or improperly use such Confidential Information in violation of the provisions of this Agreement; (iv) the Company will suffer substantial damage and irreparable harm which will be difficult to compute if the Executive competes with the Company in violation of this Agreement; (v) the Company will suffer substantial damage which will be difficult to compute if the Executive solicits or interferes with the Company’s employees, clients, or customers; (vi) the provisions of this Agreement are reasonable and necessary for the protection of the business of the Company; and (vii) the provisions of this Agreement will not preclude the Executive from obtaining other gainful employment or service.</w:t>
      </w:r>
    </w:p>
    <w:p>
      <w:pPr>
        <w:spacing w:after="0" w:line="167" w:lineRule="exact"/>
        <w:rPr>
          <w:rFonts w:ascii="Times New Roman" w:cs="Times New Roman" w:eastAsia="Times New Roman" w:hAnsi="Times New Roman"/>
          <w:sz w:val="19"/>
          <w:szCs w:val="19"/>
          <w:color w:val="auto"/>
        </w:rPr>
      </w:pPr>
    </w:p>
    <w:p>
      <w:pPr>
        <w:ind w:left="1840" w:hanging="610"/>
        <w:spacing w:after="0"/>
        <w:tabs>
          <w:tab w:leader="none" w:pos="18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Non-Compete.</w:t>
      </w:r>
    </w:p>
    <w:p>
      <w:pPr>
        <w:spacing w:after="0" w:line="208" w:lineRule="exact"/>
        <w:rPr>
          <w:rFonts w:ascii="Times New Roman" w:cs="Times New Roman" w:eastAsia="Times New Roman" w:hAnsi="Times New Roman"/>
          <w:sz w:val="20"/>
          <w:szCs w:val="20"/>
          <w:color w:val="auto"/>
        </w:rPr>
      </w:pPr>
    </w:p>
    <w:p>
      <w:pPr>
        <w:jc w:val="both"/>
        <w:ind w:firstLine="1844"/>
        <w:spacing w:after="0" w:line="254" w:lineRule="auto"/>
        <w:tabs>
          <w:tab w:leader="none" w:pos="2449"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the Executive’s employment with the Company and for a period of 24 months following the Executive's termination of employment with the Company, the Executive shall not, directly or indirectly, own, manage, control, be employed by, consult with, participate in, or be connected in any manner with the ownership, management, operation, control of, or otherwise become involved with, any Competing Business, without the Company’s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103" w:right="339" w:bottom="1440" w:gutter="0" w:footer="0" w:header="0"/>
        </w:sectPr>
      </w:pPr>
    </w:p>
    <w:bookmarkStart w:id="81" w:name="page82"/>
    <w:bookmarkEnd w:id="81"/>
    <w:p>
      <w:pPr>
        <w:jc w:val="both"/>
        <w:ind w:firstLine="285"/>
        <w:spacing w:after="0" w:line="260" w:lineRule="auto"/>
        <w:rPr>
          <w:sz w:val="20"/>
          <w:szCs w:val="20"/>
          <w:color w:val="auto"/>
        </w:rPr>
      </w:pPr>
      <w:r>
        <w:rPr>
          <w:rFonts w:ascii="Times New Roman" w:cs="Times New Roman" w:eastAsia="Times New Roman" w:hAnsi="Times New Roman"/>
          <w:sz w:val="20"/>
          <w:szCs w:val="20"/>
          <w:color w:val="auto"/>
        </w:rPr>
        <w:t xml:space="preserve">For purposes of this Agreement, a “Competing Business” shall mean any of the following: (1) any off-price retailer including, without limitation, </w:t>
      </w:r>
      <w:r>
        <w:rPr>
          <w:rFonts w:ascii="Times New Roman" w:cs="Times New Roman" w:eastAsia="Times New Roman" w:hAnsi="Times New Roman"/>
          <w:sz w:val="20"/>
          <w:szCs w:val="20"/>
          <w:b w:val="1"/>
          <w:bCs w:val="1"/>
          <w:color w:val="auto"/>
        </w:rPr>
        <w:t>Burlington Stores, Inc. and The TJX Companies, Inc.; (2) Macy’s, Inc.</w:t>
      </w:r>
      <w:r>
        <w:rPr>
          <w:rFonts w:ascii="Times New Roman" w:cs="Times New Roman" w:eastAsia="Times New Roman" w:hAnsi="Times New Roman"/>
          <w:sz w:val="20"/>
          <w:szCs w:val="20"/>
          <w:color w:val="auto"/>
        </w:rPr>
        <w:t>; and (3) any affiliates, subsidiaries or successors of the businesses identified above.</w:t>
      </w:r>
    </w:p>
    <w:p>
      <w:pPr>
        <w:spacing w:after="0" w:line="161" w:lineRule="exact"/>
        <w:rPr>
          <w:sz w:val="20"/>
          <w:szCs w:val="20"/>
          <w:color w:val="auto"/>
        </w:rPr>
      </w:pPr>
    </w:p>
    <w:p>
      <w:pPr>
        <w:ind w:firstLine="1844"/>
        <w:spacing w:after="0" w:line="268" w:lineRule="auto"/>
        <w:tabs>
          <w:tab w:leader="none" w:pos="2452"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9(b)(i) shall not prohibit the Executive from making any investment of 1% or less of the equity securities of any publicly-traded corporation which is considered to be a Competing Business</w:t>
      </w:r>
    </w:p>
    <w:p>
      <w:pPr>
        <w:spacing w:after="0" w:line="160"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2"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Non-Solicitation of Employees. </w:t>
      </w:r>
      <w:r>
        <w:rPr>
          <w:rFonts w:ascii="Times New Roman" w:cs="Times New Roman" w:eastAsia="Times New Roman" w:hAnsi="Times New Roman"/>
          <w:sz w:val="19"/>
          <w:szCs w:val="19"/>
          <w:color w:val="auto"/>
        </w:rPr>
        <w:t>During the period of the Executive’s employment with the Company and for a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 induce the termination of employment of, any person who is employed by the Company or was employed by the Company during the 6-month period prior to such solicitation, employment, or retainer;</w:t>
      </w:r>
    </w:p>
    <w:p>
      <w:pPr>
        <w:spacing w:after="0" w:line="1" w:lineRule="exact"/>
        <w:rPr>
          <w:rFonts w:ascii="Times New Roman" w:cs="Times New Roman" w:eastAsia="Times New Roman" w:hAnsi="Times New Roman"/>
          <w:sz w:val="19"/>
          <w:szCs w:val="19"/>
          <w:color w:val="auto"/>
        </w:rPr>
      </w:pPr>
    </w:p>
    <w:p>
      <w:pPr>
        <w:jc w:val="both"/>
        <w:ind w:firstLine="2"/>
        <w:spacing w:after="0" w:line="262" w:lineRule="auto"/>
        <w:tabs>
          <w:tab w:leader="none" w:pos="291"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encourage any such person not to devote such person’s full business time to the Company; or (iii) agree to hire or employ any such person. The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54" w:lineRule="exact"/>
        <w:rPr>
          <w:rFonts w:ascii="Times New Roman" w:cs="Times New Roman" w:eastAsia="Times New Roman" w:hAnsi="Times New Roman"/>
          <w:sz w:val="19"/>
          <w:szCs w:val="19"/>
          <w:color w:val="auto"/>
        </w:rPr>
      </w:pPr>
    </w:p>
    <w:p>
      <w:pPr>
        <w:jc w:val="both"/>
        <w:ind w:firstLine="1230"/>
        <w:spacing w:after="0" w:line="249" w:lineRule="auto"/>
        <w:tabs>
          <w:tab w:leader="none" w:pos="18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Third Parties. </w:t>
      </w:r>
      <w:r>
        <w:rPr>
          <w:rFonts w:ascii="Times New Roman" w:cs="Times New Roman" w:eastAsia="Times New Roman" w:hAnsi="Times New Roman"/>
          <w:sz w:val="20"/>
          <w:szCs w:val="20"/>
          <w:color w:val="auto"/>
        </w:rPr>
        <w:t>During the period of the Executive’s employment with the Company and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of 24 months following the Executive’s termination of employment with the Company, the Executive shall not in any way use any of the Company’s trade secrets to directly or indirectly solicit or otherwise influence any entity with a business arrangement with the Company, including, without limitation, suppliers, sales 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72" w:lineRule="exact"/>
        <w:rPr>
          <w:rFonts w:ascii="Times New Roman" w:cs="Times New Roman" w:eastAsia="Times New Roman" w:hAnsi="Times New Roman"/>
          <w:sz w:val="20"/>
          <w:szCs w:val="20"/>
          <w:color w:val="auto"/>
        </w:rPr>
      </w:pPr>
    </w:p>
    <w:p>
      <w:pPr>
        <w:jc w:val="both"/>
        <w:ind w:firstLine="1230"/>
        <w:spacing w:after="0" w:line="259" w:lineRule="auto"/>
        <w:tabs>
          <w:tab w:leader="none" w:pos="184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The Executive acknowledges and agrees that the Executive will not defame or criticize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business, integrity, veracity, or personal or professional reputation of the Company or any of its directors, officers, employees, affiliates, or agents of any of the foregoing in either a professional or personal manner either during the Term of Employment or thereafter. This Section does not, in any way, restrict or impede the Executive from exercising protected rights as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07" w:right="339" w:bottom="1440" w:gutter="0" w:footer="0" w:header="0"/>
        </w:sectPr>
      </w:pPr>
    </w:p>
    <w:bookmarkStart w:id="82" w:name="page83"/>
    <w:bookmarkEnd w:id="82"/>
    <w:p>
      <w:pPr>
        <w:ind w:left="1260" w:hanging="644"/>
        <w:spacing w:after="0"/>
        <w:tabs>
          <w:tab w:leader="none" w:pos="12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Remedies for Executive’s Breach of Certain Obligations.</w:t>
      </w:r>
    </w:p>
    <w:p>
      <w:pPr>
        <w:spacing w:after="0" w:line="208"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177"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4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60"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49"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forfeit to the Company (A) all stock options, stock appreciation rights, performance shares and other equity compensation awards (other than shares of restricted stock, restricted stock units, common shares issued in settlement of performance share awards, or similar awards) granted to the Executive by the Company which remain outstanding and unexercised or unpaid as of the date of such determination by the Board (the “</w:t>
      </w:r>
      <w:r>
        <w:rPr>
          <w:rFonts w:ascii="Times New Roman" w:cs="Times New Roman" w:eastAsia="Times New Roman" w:hAnsi="Times New Roman"/>
          <w:sz w:val="20"/>
          <w:szCs w:val="20"/>
          <w:u w:val="single" w:color="auto"/>
          <w:color w:val="auto"/>
        </w:rPr>
        <w:t>Breach Determination Date</w:t>
      </w:r>
      <w:r>
        <w:rPr>
          <w:rFonts w:ascii="Times New Roman" w:cs="Times New Roman" w:eastAsia="Times New Roman" w:hAnsi="Times New Roman"/>
          <w:sz w:val="20"/>
          <w:szCs w:val="20"/>
          <w:color w:val="auto"/>
        </w:rPr>
        <w:t>”) and (B) all shares of restricted stock, restricted stock units, and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84" w:lineRule="exact"/>
        <w:rPr>
          <w:rFonts w:ascii="Times New Roman" w:cs="Times New Roman" w:eastAsia="Times New Roman" w:hAnsi="Times New Roman"/>
          <w:sz w:val="20"/>
          <w:szCs w:val="20"/>
          <w:color w:val="auto"/>
        </w:rPr>
      </w:pPr>
    </w:p>
    <w:p>
      <w:pPr>
        <w:jc w:val="both"/>
        <w:ind w:firstLine="1844"/>
        <w:spacing w:after="0" w:line="251" w:lineRule="auto"/>
        <w:tabs>
          <w:tab w:leader="none" w:pos="245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 pursuant to awards of restricted stock, restricted stock units, or similar awards granted to the Executive by the Company and which vested during the Forfeiture Period.</w:t>
      </w:r>
    </w:p>
    <w:p>
      <w:pPr>
        <w:spacing w:after="0" w:line="168"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103" w:right="339" w:bottom="1440" w:gutter="0" w:footer="0" w:header="0"/>
        </w:sectPr>
      </w:pPr>
    </w:p>
    <w:bookmarkStart w:id="83" w:name="page84"/>
    <w:bookmarkEnd w:id="83"/>
    <w:p>
      <w:pPr>
        <w:jc w:val="both"/>
        <w:ind w:firstLine="1230"/>
        <w:spacing w:after="0" w:line="260" w:lineRule="auto"/>
        <w:tabs>
          <w:tab w:leader="none" w:pos="18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the “</w:t>
      </w:r>
      <w:r>
        <w:rPr>
          <w:rFonts w:ascii="Times New Roman" w:cs="Times New Roman" w:eastAsia="Times New Roman" w:hAnsi="Times New Roman"/>
          <w:sz w:val="20"/>
          <w:szCs w:val="20"/>
          <w:u w:val="single" w:color="auto"/>
          <w:color w:val="auto"/>
        </w:rPr>
        <w:t>Forfeiture Period</w:t>
      </w:r>
      <w:r>
        <w:rPr>
          <w:rFonts w:ascii="Times New Roman" w:cs="Times New Roman" w:eastAsia="Times New Roman" w:hAnsi="Times New Roman"/>
          <w:sz w:val="20"/>
          <w:szCs w:val="20"/>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160" w:lineRule="exact"/>
        <w:rPr>
          <w:rFonts w:ascii="Times New Roman" w:cs="Times New Roman" w:eastAsia="Times New Roman" w:hAnsi="Times New Roman"/>
          <w:sz w:val="20"/>
          <w:szCs w:val="20"/>
          <w:color w:val="auto"/>
        </w:rPr>
      </w:pPr>
    </w:p>
    <w:p>
      <w:pPr>
        <w:ind w:firstLine="1230"/>
        <w:spacing w:after="0" w:line="268" w:lineRule="auto"/>
        <w:tabs>
          <w:tab w:leader="none" w:pos="184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pay to the Company immediately upon the Breach Determination Date the amount payable by the Executive to the Company pursuant to this Section.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47" w:lineRule="auto"/>
        <w:tabs>
          <w:tab w:leader="none" w:pos="1833"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seek specific performance, injunctive relief, and other equitable relief from a court of competent jurisdiction, to prevent or restrain such breach or threatened breach. The Company may at its option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74"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The Executive hereby understands and agrees that (i) if the Executive is an “Affected Officer”,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in the Company’s Policy for Recovery of Erroneously Awarded Incentive Compensation, adopted November 15, 2023 (“Recovery Policy”), the Executive shall be subject to the Recovery Policy in addition to the Company’s recoupment policy (“Recoupment Policy”) and</w:t>
      </w:r>
    </w:p>
    <w:p>
      <w:pPr>
        <w:jc w:val="both"/>
        <w:ind w:firstLine="2"/>
        <w:spacing w:after="0" w:line="246" w:lineRule="auto"/>
        <w:tabs>
          <w:tab w:leader="none" w:pos="30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not an Affected Officer, the Executive shall be subject to the Company’s Recoupment Policy. Under the Recoupment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 (1) the award was predicated upon the achievement of certain financial results that were subsequently the subject of a material restatement, (2) the Board determines that the Executive engaged in fraud or intentional misconduct that was a substantial contributing cause to the need for the restatement, and (3) a lower award would have been made to the Executive based upon the restated financial results. In each instance, the Company may seek to recover the Executive’s entire gain received by the Executive within the relevant period, plus a reasonable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107" w:right="339" w:bottom="1440" w:gutter="0" w:footer="0" w:header="0"/>
        </w:sectPr>
      </w:pPr>
    </w:p>
    <w:bookmarkStart w:id="84" w:name="page85"/>
    <w:bookmarkEnd w:id="84"/>
    <w:p>
      <w:pPr>
        <w:jc w:val="both"/>
        <w:ind w:firstLine="616"/>
        <w:spacing w:after="0" w:line="255" w:lineRule="auto"/>
        <w:tabs>
          <w:tab w:leader="none" w:pos="121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of Stock Options Following Termination. </w:t>
      </w:r>
      <w:r>
        <w:rPr>
          <w:rFonts w:ascii="Times New Roman" w:cs="Times New Roman" w:eastAsia="Times New Roman" w:hAnsi="Times New Roman"/>
          <w:sz w:val="20"/>
          <w:szCs w:val="20"/>
          <w:color w:val="auto"/>
        </w:rPr>
        <w:t>If the Executive's employment terminates, the Executive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estate) may exercise the Executive's right to purchase any vested stock under the stock options granted to the Executive by the Company as provided in the applicable stock option agreement or Company plan. All such purchases must be made by the Executive in accordance with the applicable stock option plans and agreements between the parties.</w:t>
      </w:r>
    </w:p>
    <w:p>
      <w:pPr>
        <w:spacing w:after="0" w:line="160" w:lineRule="exact"/>
        <w:rPr>
          <w:rFonts w:ascii="Times New Roman" w:cs="Times New Roman" w:eastAsia="Times New Roman" w:hAnsi="Times New Roman"/>
          <w:sz w:val="20"/>
          <w:szCs w:val="20"/>
          <w:color w:val="auto"/>
        </w:rPr>
      </w:pPr>
    </w:p>
    <w:p>
      <w:pPr>
        <w:jc w:val="both"/>
        <w:ind w:firstLine="616"/>
        <w:spacing w:after="0" w:line="252" w:lineRule="auto"/>
        <w:tabs>
          <w:tab w:leader="none" w:pos="121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Successors; Binding Agreement. </w:t>
      </w:r>
      <w:r>
        <w:rPr>
          <w:rFonts w:ascii="Times New Roman" w:cs="Times New Roman" w:eastAsia="Times New Roman" w:hAnsi="Times New Roman"/>
          <w:sz w:val="20"/>
          <w:szCs w:val="20"/>
          <w:color w:val="auto"/>
        </w:rPr>
        <w:t>This Agreement and all rights of the Executive hereunder shall inure to the benefit of and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75" w:lineRule="exact"/>
        <w:rPr>
          <w:rFonts w:ascii="Times New Roman" w:cs="Times New Roman" w:eastAsia="Times New Roman" w:hAnsi="Times New Roman"/>
          <w:sz w:val="20"/>
          <w:szCs w:val="20"/>
          <w:color w:val="auto"/>
        </w:rPr>
      </w:pPr>
    </w:p>
    <w:p>
      <w:pPr>
        <w:jc w:val="both"/>
        <w:ind w:firstLine="616"/>
        <w:spacing w:after="0" w:line="250" w:lineRule="auto"/>
        <w:tabs>
          <w:tab w:leader="none" w:pos="121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Insurance and Indemnity. </w:t>
      </w:r>
      <w:r>
        <w:rPr>
          <w:rFonts w:ascii="Times New Roman" w:cs="Times New Roman" w:eastAsia="Times New Roman" w:hAnsi="Times New Roman"/>
          <w:sz w:val="20"/>
          <w:szCs w:val="20"/>
          <w:color w:val="auto"/>
        </w:rPr>
        <w:t>The Company shall, to the extent permitted by law, include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64" w:lineRule="exact"/>
        <w:rPr>
          <w:rFonts w:ascii="Times New Roman" w:cs="Times New Roman" w:eastAsia="Times New Roman" w:hAnsi="Times New Roman"/>
          <w:sz w:val="20"/>
          <w:szCs w:val="20"/>
          <w:color w:val="auto"/>
        </w:rPr>
      </w:pPr>
    </w:p>
    <w:p>
      <w:pPr>
        <w:jc w:val="both"/>
        <w:ind w:firstLine="616"/>
        <w:spacing w:after="0" w:line="262" w:lineRule="auto"/>
        <w:tabs>
          <w:tab w:leader="none" w:pos="127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For the purposes of this Agreement, notices, demands and all other communications provided for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to have been duly given when delivered or (unless otherwise specified) mailed by United States registered mail, return receipt requested, postage prepaid, addressed as follows:</w:t>
      </w:r>
    </w:p>
    <w:p>
      <w:pPr>
        <w:spacing w:after="0" w:line="2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If to the Executive:</w:t>
      </w:r>
    </w:p>
    <w:p>
      <w:pPr>
        <w:spacing w:after="0" w:line="18" w:lineRule="exact"/>
        <w:rPr>
          <w:sz w:val="20"/>
          <w:szCs w:val="20"/>
          <w:color w:val="auto"/>
        </w:rPr>
      </w:pPr>
    </w:p>
    <w:tbl>
      <w:tblPr>
        <w:tblLayout w:type="fixed"/>
        <w:tblInd w:w="1380" w:type="dxa"/>
        <w:tblCellMar>
          <w:top w:w="0" w:type="dxa"/>
          <w:left w:w="0" w:type="dxa"/>
          <w:bottom w:w="0" w:type="dxa"/>
          <w:right w:w="0" w:type="dxa"/>
        </w:tblCellMar>
      </w:tblPr>
      <w:tr>
        <w:trPr>
          <w:trHeight w:val="231"/>
        </w:trPr>
        <w:tc>
          <w:tcPr>
            <w:tcW w:w="2340" w:type="dxa"/>
            <w:vAlign w:val="bottom"/>
          </w:tcPr>
          <w:p>
            <w:pPr>
              <w:spacing w:after="0"/>
              <w:rPr>
                <w:sz w:val="20"/>
                <w:szCs w:val="20"/>
                <w:color w:val="auto"/>
              </w:rPr>
            </w:pPr>
          </w:p>
        </w:tc>
        <w:tc>
          <w:tcPr>
            <w:tcW w:w="3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1372 Broadway</w:t>
            </w:r>
          </w:p>
        </w:tc>
      </w:tr>
      <w:tr>
        <w:trPr>
          <w:trHeight w:val="257"/>
        </w:trPr>
        <w:tc>
          <w:tcPr>
            <w:tcW w:w="23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New York, NY 10018</w:t>
            </w:r>
          </w:p>
        </w:tc>
      </w:tr>
      <w:tr>
        <w:trPr>
          <w:trHeight w:val="485"/>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If to the Company:</w:t>
            </w: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Ross Stores, Inc.</w:t>
            </w:r>
          </w:p>
        </w:tc>
      </w:tr>
      <w:tr>
        <w:trPr>
          <w:trHeight w:val="243"/>
        </w:trPr>
        <w:tc>
          <w:tcPr>
            <w:tcW w:w="23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5130 Hacienda Drive</w:t>
            </w:r>
          </w:p>
        </w:tc>
      </w:tr>
      <w:tr>
        <w:trPr>
          <w:trHeight w:val="243"/>
        </w:trPr>
        <w:tc>
          <w:tcPr>
            <w:tcW w:w="23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Dublin, CA 94568-7579</w:t>
            </w:r>
          </w:p>
        </w:tc>
      </w:tr>
      <w:tr>
        <w:trPr>
          <w:trHeight w:val="257"/>
        </w:trPr>
        <w:tc>
          <w:tcPr>
            <w:tcW w:w="23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Attention: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or to such other address as any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103" w:right="339" w:bottom="1440" w:gutter="0" w:footer="0" w:header="0"/>
        </w:sectPr>
      </w:pPr>
    </w:p>
    <w:bookmarkStart w:id="85" w:name="page86"/>
    <w:bookmarkEnd w:id="85"/>
    <w:p>
      <w:pPr>
        <w:jc w:val="both"/>
        <w:ind w:firstLine="616"/>
        <w:spacing w:after="0" w:line="261" w:lineRule="auto"/>
        <w:tabs>
          <w:tab w:leader="none" w:pos="131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Complete Agreement; Modification, Waiver; Entire Agreement. </w:t>
      </w:r>
      <w:r>
        <w:rPr>
          <w:rFonts w:ascii="Times New Roman" w:cs="Times New Roman" w:eastAsia="Times New Roman" w:hAnsi="Times New Roman"/>
          <w:sz w:val="19"/>
          <w:szCs w:val="19"/>
          <w:color w:val="auto"/>
        </w:rPr>
        <w:t>This Agreement, along with any compensation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summary, stock option, restricted stock, performance share, or other equity compensation award agreements between the parties, represents the complete agreement of the parties with respect to the subject matter hereof and supersedes all 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 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63" w:lineRule="exact"/>
        <w:rPr>
          <w:rFonts w:ascii="Times New Roman" w:cs="Times New Roman" w:eastAsia="Times New Roman" w:hAnsi="Times New Roman"/>
          <w:sz w:val="19"/>
          <w:szCs w:val="19"/>
          <w:color w:val="auto"/>
        </w:rPr>
      </w:pPr>
    </w:p>
    <w:p>
      <w:pPr>
        <w:jc w:val="both"/>
        <w:ind w:firstLine="616"/>
        <w:spacing w:after="0" w:line="248" w:lineRule="auto"/>
        <w:tabs>
          <w:tab w:leader="none" w:pos="128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 Severability. </w:t>
      </w:r>
      <w:r>
        <w:rPr>
          <w:rFonts w:ascii="Times New Roman" w:cs="Times New Roman" w:eastAsia="Times New Roman" w:hAnsi="Times New Roman"/>
          <w:sz w:val="20"/>
          <w:szCs w:val="20"/>
          <w:color w:val="auto"/>
        </w:rPr>
        <w:t>The validity, interpretation, construction, performance, and enforcement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governed by the laws of the state in which the Executive’s principal place of employment described in Section 3 is located without reference to that state’s choice of law rules. Notwithstanding the foregoing and subject to the provisions of Section 10(f) hereof which entitles the Company to pursue injunctive relief in a court of competent jurisdiction, the Federal Arbitration Act, 9 U.S.C. § 1 et seq. and federal law shall govern all aspects of the agreement between the parties in Section 19 to arbitrate claims arising from or related to this Agreement. If any provision of this Agreement shall be held or deemed to be invalid, illegal, or unenforceable in any jurisdiction, for any reason, such holding shall not affect the validity of the remainder of this Agreement, which shall continue to be binding upon the parties with any such modification and treated as though originally set forth in this Agreement, nor shall such holding have the effect of rendering the provision in question unenforceable in any other jurisdiction or in any other case or of rendering any other provisions herein unenforceable. The parties further agree that any court or arbitrator, as applicable, is expressly authorized to modify and substitute any such unenforceable provision of this agreement with a valid provision which most closely approximates the intent and the economic effect of the invalid provision and which would be enforceable to the maximum extent permitted in such jurisdiction or in such case and that this Agreement as so modified shall be binding upon and enforceable against each of them.</w:t>
      </w:r>
    </w:p>
    <w:p>
      <w:pPr>
        <w:spacing w:after="0" w:line="172" w:lineRule="exact"/>
        <w:rPr>
          <w:rFonts w:ascii="Times New Roman" w:cs="Times New Roman" w:eastAsia="Times New Roman" w:hAnsi="Times New Roman"/>
          <w:sz w:val="20"/>
          <w:szCs w:val="20"/>
          <w:color w:val="auto"/>
        </w:rPr>
      </w:pPr>
    </w:p>
    <w:p>
      <w:pPr>
        <w:jc w:val="both"/>
        <w:ind w:firstLine="616"/>
        <w:spacing w:after="0" w:line="262" w:lineRule="auto"/>
        <w:tabs>
          <w:tab w:leader="none" w:pos="126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Mitigation. </w:t>
      </w:r>
      <w:r>
        <w:rPr>
          <w:rFonts w:ascii="Times New Roman" w:cs="Times New Roman" w:eastAsia="Times New Roman" w:hAnsi="Times New Roman"/>
          <w:sz w:val="20"/>
          <w:szCs w:val="20"/>
          <w:color w:val="auto"/>
        </w:rPr>
        <w:t>In the event the Executive’s employment with the Company terminates for any reason, the Executive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obligated to seek other employment following such termination. However, any amounts due to the Executive under Sections 8(a)(i), 8(a)(ii), 8(a)(vii), 8(e)(i)(a), 8(e)(i)(b), 8(e)(i)(d) or 8(e)(i)(e) (collectively, “</w:t>
      </w:r>
      <w:r>
        <w:rPr>
          <w:rFonts w:ascii="Times New Roman" w:cs="Times New Roman" w:eastAsia="Times New Roman" w:hAnsi="Times New Roman"/>
          <w:sz w:val="20"/>
          <w:szCs w:val="20"/>
          <w:u w:val="single" w:color="auto"/>
          <w:color w:val="auto"/>
        </w:rPr>
        <w:t>Mitigable Severance</w:t>
      </w:r>
      <w:r>
        <w:rPr>
          <w:rFonts w:ascii="Times New Roman" w:cs="Times New Roman" w:eastAsia="Times New Roman" w:hAnsi="Times New Roman"/>
          <w:sz w:val="20"/>
          <w:szCs w:val="20"/>
          <w:color w:val="auto"/>
        </w:rPr>
        <w:t>”) shall be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103" w:right="339" w:bottom="1440" w:gutter="0" w:footer="0" w:header="0"/>
        </w:sectPr>
      </w:pPr>
    </w:p>
    <w:bookmarkStart w:id="86" w:name="page87"/>
    <w:bookmarkEnd w:id="86"/>
    <w:p>
      <w:pPr>
        <w:jc w:val="both"/>
        <w:spacing w:after="0" w:line="249" w:lineRule="auto"/>
        <w:rPr>
          <w:sz w:val="20"/>
          <w:szCs w:val="20"/>
          <w:color w:val="auto"/>
        </w:rPr>
      </w:pPr>
      <w:r>
        <w:rPr>
          <w:rFonts w:ascii="Times New Roman" w:cs="Times New Roman" w:eastAsia="Times New Roman" w:hAnsi="Times New Roman"/>
          <w:sz w:val="20"/>
          <w:szCs w:val="20"/>
          <w:color w:val="auto"/>
        </w:rPr>
        <w:t>any cash remuneration, health care coverage and/or estate planning reimbursements (collectively, “</w:t>
      </w:r>
      <w:r>
        <w:rPr>
          <w:rFonts w:ascii="Times New Roman" w:cs="Times New Roman" w:eastAsia="Times New Roman" w:hAnsi="Times New Roman"/>
          <w:sz w:val="20"/>
          <w:szCs w:val="20"/>
          <w:u w:val="single" w:color="auto"/>
          <w:color w:val="auto"/>
        </w:rPr>
        <w:t>Mitigable Compensation</w:t>
      </w:r>
      <w:r>
        <w:rPr>
          <w:rFonts w:ascii="Times New Roman" w:cs="Times New Roman" w:eastAsia="Times New Roman" w:hAnsi="Times New Roman"/>
          <w:sz w:val="20"/>
          <w:szCs w:val="20"/>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 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172" w:lineRule="exact"/>
        <w:rPr>
          <w:sz w:val="20"/>
          <w:szCs w:val="20"/>
          <w:color w:val="auto"/>
        </w:rPr>
      </w:pPr>
    </w:p>
    <w:p>
      <w:pPr>
        <w:jc w:val="both"/>
        <w:ind w:firstLine="616"/>
        <w:spacing w:after="0" w:line="252" w:lineRule="auto"/>
        <w:tabs>
          <w:tab w:leader="none" w:pos="129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w:t>
      </w:r>
      <w:r>
        <w:rPr>
          <w:rFonts w:ascii="Times New Roman" w:cs="Times New Roman" w:eastAsia="Times New Roman" w:hAnsi="Times New Roman"/>
          <w:sz w:val="20"/>
          <w:szCs w:val="20"/>
          <w:color w:val="auto"/>
        </w:rPr>
        <w:t>All payments required to be made by the Company hereunder to the Executive or the Executive’s estate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62" w:lineRule="exact"/>
        <w:rPr>
          <w:rFonts w:ascii="Times New Roman" w:cs="Times New Roman" w:eastAsia="Times New Roman" w:hAnsi="Times New Roman"/>
          <w:sz w:val="20"/>
          <w:szCs w:val="20"/>
          <w:color w:val="auto"/>
        </w:rPr>
      </w:pPr>
    </w:p>
    <w:p>
      <w:pPr>
        <w:jc w:val="both"/>
        <w:ind w:firstLine="616"/>
        <w:spacing w:after="0" w:line="261" w:lineRule="auto"/>
        <w:tabs>
          <w:tab w:leader="none" w:pos="127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Arbitration. </w:t>
      </w:r>
      <w:r>
        <w:rPr>
          <w:rFonts w:ascii="Times New Roman" w:cs="Times New Roman" w:eastAsia="Times New Roman" w:hAnsi="Times New Roman"/>
          <w:sz w:val="19"/>
          <w:szCs w:val="19"/>
          <w:color w:val="auto"/>
        </w:rPr>
        <w:t>Except as otherwise provided by applicable law or as otherwise provided for in this Agreement,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Executive shall resolve all disputes or claims relating to or arising out of the parties' employment relationship, separation or termination of employment,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Times New Roman" w:cs="Times New Roman" w:eastAsia="Times New Roman" w:hAnsi="Times New Roman"/>
          <w:sz w:val="19"/>
          <w:szCs w:val="19"/>
          <w:u w:val="single" w:color="auto"/>
          <w:color w:val="auto"/>
        </w:rPr>
        <w:t>Arbitration Agreement</w:t>
      </w:r>
      <w:r>
        <w:rPr>
          <w:rFonts w:ascii="Times New Roman" w:cs="Times New Roman" w:eastAsia="Times New Roman" w:hAnsi="Times New Roman"/>
          <w:sz w:val="19"/>
          <w:szCs w:val="19"/>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The parties are expressly waiving all rights to have their disputes heard or decided by a jury or in a court trial. And to the extent permitted by law, the Company and the Executive agree that each may file claims against the other only in their individual capacities, and may not file claims as a named plaintiff, or participate as a class member, in any class or collective action against the other. For the avoidance of doubt, in the event of a breach or threatened breach by the Executive of Sections 5 or 9 of this Agreement, nothing in this arbitration provision or the Arbitration Agreement shall be construed to prevent the Company from seeking interim or temporary injunctive or equitable relief from a court of competent jurisdiction, without the necessity of showing actual damages, and, except where prohibited by law, without the necessity of posting bond or other security. This provision fully incorporates the Arbitration Agreement provided, however, that in the event of any conflict between this provision and the Arbitration Agreement, this provision shall govern.</w:t>
      </w:r>
    </w:p>
    <w:p>
      <w:pPr>
        <w:spacing w:after="0" w:line="173" w:lineRule="exact"/>
        <w:rPr>
          <w:sz w:val="20"/>
          <w:szCs w:val="20"/>
          <w:color w:val="auto"/>
        </w:rPr>
      </w:pPr>
    </w:p>
    <w:p>
      <w:pPr>
        <w:ind w:firstLine="614"/>
        <w:spacing w:after="0" w:line="268" w:lineRule="auto"/>
        <w:rPr>
          <w:sz w:val="20"/>
          <w:szCs w:val="20"/>
          <w:color w:val="auto"/>
        </w:rPr>
      </w:pPr>
      <w:r>
        <w:rPr>
          <w:rFonts w:ascii="Times New Roman" w:cs="Times New Roman" w:eastAsia="Times New Roman" w:hAnsi="Times New Roman"/>
          <w:sz w:val="20"/>
          <w:szCs w:val="20"/>
          <w:color w:val="auto"/>
        </w:rPr>
        <w:t>If there is termination of the Executive’s employment with the Company followed by a dispute as to whether the Executive is entitled to the benefits provided under this Agreement,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107" w:right="339" w:bottom="1440" w:gutter="0" w:footer="0" w:header="0"/>
        </w:sectPr>
      </w:pPr>
    </w:p>
    <w:bookmarkStart w:id="87" w:name="page88"/>
    <w:bookmarkEnd w:id="87"/>
    <w:p>
      <w:pPr>
        <w:jc w:val="both"/>
        <w:spacing w:after="0" w:line="251" w:lineRule="auto"/>
        <w:rPr>
          <w:sz w:val="20"/>
          <w:szCs w:val="20"/>
          <w:color w:val="auto"/>
        </w:rPr>
      </w:pPr>
      <w:r>
        <w:rPr>
          <w:rFonts w:ascii="Times New Roman" w:cs="Times New Roman" w:eastAsia="Times New Roman" w:hAnsi="Times New Roman"/>
          <w:sz w:val="20"/>
          <w:szCs w:val="20"/>
          <w:color w:val="auto"/>
        </w:rPr>
        <w:t>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 withheld during the period of the dispute plus interest at the rate provided in Section 1274(d) of the Code.</w:t>
      </w:r>
    </w:p>
    <w:p>
      <w:pPr>
        <w:spacing w:after="0" w:line="165" w:lineRule="exact"/>
        <w:rPr>
          <w:sz w:val="20"/>
          <w:szCs w:val="20"/>
          <w:color w:val="auto"/>
        </w:rPr>
      </w:pPr>
    </w:p>
    <w:p>
      <w:pPr>
        <w:ind w:firstLine="616"/>
        <w:spacing w:after="0" w:line="285" w:lineRule="auto"/>
        <w:tabs>
          <w:tab w:leader="none" w:pos="127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Attorney’s Fees. </w:t>
      </w:r>
      <w:r>
        <w:rPr>
          <w:rFonts w:ascii="Times New Roman" w:cs="Times New Roman" w:eastAsia="Times New Roman" w:hAnsi="Times New Roman"/>
          <w:sz w:val="20"/>
          <w:szCs w:val="20"/>
          <w:color w:val="auto"/>
        </w:rPr>
        <w:t>Except as otherwise provided herein, each party shall bear its own attorney’s fees and costs incurred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or dispute arising out of this Agreement.</w:t>
      </w:r>
    </w:p>
    <w:p>
      <w:pPr>
        <w:spacing w:after="0" w:line="131" w:lineRule="exact"/>
        <w:rPr>
          <w:rFonts w:ascii="Times New Roman" w:cs="Times New Roman" w:eastAsia="Times New Roman" w:hAnsi="Times New Roman"/>
          <w:sz w:val="20"/>
          <w:szCs w:val="20"/>
          <w:color w:val="auto"/>
        </w:rPr>
      </w:pPr>
    </w:p>
    <w:p>
      <w:pPr>
        <w:jc w:val="both"/>
        <w:ind w:firstLine="616"/>
        <w:spacing w:after="0" w:line="251" w:lineRule="auto"/>
        <w:tabs>
          <w:tab w:leader="none" w:pos="127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No right or interest to, or in, any payments shall be assignable by the Executive; provided, however,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178" w:lineRule="exact"/>
        <w:rPr>
          <w:rFonts w:ascii="Times New Roman" w:cs="Times New Roman" w:eastAsia="Times New Roman" w:hAnsi="Times New Roman"/>
          <w:sz w:val="20"/>
          <w:szCs w:val="20"/>
          <w:color w:val="auto"/>
        </w:rPr>
      </w:pPr>
    </w:p>
    <w:p>
      <w:pPr>
        <w:jc w:val="both"/>
        <w:ind w:firstLine="616"/>
        <w:spacing w:after="0" w:line="252" w:lineRule="auto"/>
        <w:tabs>
          <w:tab w:leader="none" w:pos="127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this Agreement to the contrary, the provision,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manner of payment or distribution of all compensation and benefits provided by this Agreement that constitute nonqualified deferred compensation subject to and not exempted from the requirements of Code Section 409A (“</w:t>
      </w:r>
      <w:r>
        <w:rPr>
          <w:rFonts w:ascii="Times New Roman" w:cs="Times New Roman" w:eastAsia="Times New Roman" w:hAnsi="Times New Roman"/>
          <w:sz w:val="20"/>
          <w:szCs w:val="20"/>
          <w:u w:val="single" w:color="auto"/>
          <w:color w:val="auto"/>
        </w:rPr>
        <w:t>Section 409A Deferred Compensation</w:t>
      </w:r>
      <w:r>
        <w:rPr>
          <w:rFonts w:ascii="Times New Roman" w:cs="Times New Roman" w:eastAsia="Times New Roman" w:hAnsi="Times New Roman"/>
          <w:sz w:val="20"/>
          <w:szCs w:val="20"/>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including the following:</w:t>
      </w:r>
    </w:p>
    <w:p>
      <w:pPr>
        <w:spacing w:after="0" w:line="162"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2"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Payments and benefits constituting Section 409A Deferred Compensation otherwise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provided pursuant to Section 8 upon the Executive’s termination of employment shall be paid or provided only at the time of a termination of the Executive’s employment that constitutes a Separation from Service. For the purposes of this Agreement,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is a separation from service within the meaning of Treasury Regulation Section 1.409A-1(h).</w:t>
      </w:r>
    </w:p>
    <w:p>
      <w:pPr>
        <w:spacing w:after="0" w:line="173" w:lineRule="exact"/>
        <w:rPr>
          <w:rFonts w:ascii="Times New Roman" w:cs="Times New Roman" w:eastAsia="Times New Roman" w:hAnsi="Times New Roman"/>
          <w:sz w:val="20"/>
          <w:szCs w:val="20"/>
          <w:color w:val="auto"/>
        </w:rPr>
      </w:pPr>
    </w:p>
    <w:p>
      <w:pPr>
        <w:jc w:val="both"/>
        <w:ind w:firstLine="1230"/>
        <w:spacing w:after="0" w:line="250" w:lineRule="auto"/>
        <w:tabs>
          <w:tab w:leader="none" w:pos="184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Six-Month Delay Applicable to Specified Employees. </w:t>
      </w:r>
      <w:r>
        <w:rPr>
          <w:rFonts w:ascii="Times New Roman" w:cs="Times New Roman" w:eastAsia="Times New Roman" w:hAnsi="Times New Roman"/>
          <w:sz w:val="20"/>
          <w:szCs w:val="20"/>
          <w:color w:val="auto"/>
        </w:rPr>
        <w:t>If, at the time of a Separation from Service of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is a “specified employee” within the meaning of Section 409A(a)(2)(B)(i) (a “</w:t>
      </w:r>
      <w:r>
        <w:rPr>
          <w:rFonts w:ascii="Times New Roman" w:cs="Times New Roman" w:eastAsia="Times New Roman" w:hAnsi="Times New Roman"/>
          <w:sz w:val="20"/>
          <w:szCs w:val="20"/>
          <w:u w:val="single" w:color="auto"/>
          <w:color w:val="auto"/>
        </w:rPr>
        <w:t>Specified Employee</w:t>
      </w:r>
      <w:r>
        <w:rPr>
          <w:rFonts w:ascii="Times New Roman" w:cs="Times New Roman" w:eastAsia="Times New Roman" w:hAnsi="Times New Roman"/>
          <w:sz w:val="20"/>
          <w:szCs w:val="20"/>
          <w:color w:val="auto"/>
        </w:rPr>
        <w:t>”), then any payments and benefits 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w:t>
      </w:r>
      <w:r>
        <w:rPr>
          <w:rFonts w:ascii="Times New Roman" w:cs="Times New Roman" w:eastAsia="Times New Roman" w:hAnsi="Times New Roman"/>
          <w:sz w:val="20"/>
          <w:szCs w:val="20"/>
          <w:u w:val="single" w:color="auto"/>
          <w:color w:val="auto"/>
        </w:rPr>
        <w:t>Delayed Payment Date</w:t>
      </w:r>
      <w:r>
        <w:rPr>
          <w:rFonts w:ascii="Times New Roman" w:cs="Times New Roman" w:eastAsia="Times New Roman" w:hAnsi="Times New Roman"/>
          <w:sz w:val="20"/>
          <w:szCs w:val="20"/>
          <w:color w:val="auto"/>
        </w:rPr>
        <w:t>”), or (ii) the date or dates on which such Section 409A Deferred Compensation would otherwise be paid or provided in accordance with Section 8. All such amounts that would, but for this Section 22(b), become payable prior to the Delayed Payment Date shall be accumulated and paid on the Delayed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107" w:right="339" w:bottom="1440" w:gutter="0" w:footer="0" w:header="0"/>
        </w:sectPr>
      </w:pPr>
    </w:p>
    <w:bookmarkStart w:id="88" w:name="page89"/>
    <w:bookmarkEnd w:id="88"/>
    <w:p>
      <w:pPr>
        <w:jc w:val="both"/>
        <w:ind w:firstLine="1230"/>
        <w:spacing w:after="0" w:line="248" w:lineRule="auto"/>
        <w:tabs>
          <w:tab w:leader="none" w:pos="184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and Estate Planning Benefits. </w:t>
      </w:r>
      <w:r>
        <w:rPr>
          <w:rFonts w:ascii="Times New Roman" w:cs="Times New Roman" w:eastAsia="Times New Roman" w:hAnsi="Times New Roman"/>
          <w:sz w:val="20"/>
          <w:szCs w:val="20"/>
          <w:color w:val="auto"/>
        </w:rPr>
        <w:t>In the event that all or any of the health care or estate planning benefits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provided pursuant to Sections 8(a)(vii); 8(e)(i)(d) or 8(e)(i)(e) as a result of a Participant’s Separation from Service constitute Section 409A Deferred Compensation, the Company shall provide for such benefits constituting Section 409A Deferred Compensation in a manner that complies with Section 409A. To the extent necessary to comply with 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 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166"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Stock-Based Awards. </w:t>
      </w:r>
      <w:r>
        <w:rPr>
          <w:rFonts w:ascii="Times New Roman" w:cs="Times New Roman" w:eastAsia="Times New Roman" w:hAnsi="Times New Roman"/>
          <w:sz w:val="20"/>
          <w:szCs w:val="20"/>
          <w:color w:val="auto"/>
        </w:rPr>
        <w:t>The vesting of any stock-based compensation awards which constitute Section 409A 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 payable upon a Change in Control in accordance with Section 8(e) shall not be subject to this Section 22(d).</w:t>
      </w:r>
    </w:p>
    <w:p>
      <w:pPr>
        <w:spacing w:after="0" w:line="16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Notwithstanding any provision of this Agreement to the contrary, to the extent that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64"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3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Installments. </w:t>
      </w:r>
      <w:r>
        <w:rPr>
          <w:rFonts w:ascii="Times New Roman" w:cs="Times New Roman" w:eastAsia="Times New Roman" w:hAnsi="Times New Roman"/>
          <w:sz w:val="20"/>
          <w:szCs w:val="20"/>
          <w:color w:val="auto"/>
        </w:rPr>
        <w:t>The Executive’s right to receive any installment payments payable hereunder shall be treated as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a series of separate payments and, accordingly, each such installment payment shall at all times be considered a separate and distinct payment for purposes of Section 409A.</w:t>
      </w:r>
    </w:p>
    <w:p>
      <w:pPr>
        <w:spacing w:after="0" w:line="167" w:lineRule="exact"/>
        <w:rPr>
          <w:rFonts w:ascii="Times New Roman" w:cs="Times New Roman" w:eastAsia="Times New Roman" w:hAnsi="Times New Roman"/>
          <w:sz w:val="20"/>
          <w:szCs w:val="20"/>
          <w:color w:val="auto"/>
        </w:rPr>
      </w:pPr>
    </w:p>
    <w:p>
      <w:pPr>
        <w:jc w:val="both"/>
        <w:ind w:firstLine="1230"/>
        <w:spacing w:after="0" w:line="251" w:lineRule="auto"/>
        <w:tabs>
          <w:tab w:leader="none" w:pos="18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Reimbursements. </w:t>
      </w:r>
      <w:r>
        <w:rPr>
          <w:rFonts w:ascii="Times New Roman" w:cs="Times New Roman" w:eastAsia="Times New Roman" w:hAnsi="Times New Roman"/>
          <w:sz w:val="20"/>
          <w:szCs w:val="20"/>
          <w:color w:val="auto"/>
        </w:rPr>
        <w:t>To the extent that any reimbursements payable to the Executive pursuant to this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of Section 409A of the Code, such reimbursements shall be paid to the Executive no later than December 31 of the year following the year in which the cost was incurred; the amount of expenses reimbursed in one year shall not affect the amount eligible for reimbursement in any subsequent year; and the Executive’s right to reimbursement under this Agreement will not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103" w:right="339" w:bottom="1440" w:gutter="0" w:footer="0" w:header="0"/>
        </w:sectPr>
      </w:pPr>
    </w:p>
    <w:bookmarkStart w:id="89" w:name="page90"/>
    <w:bookmarkEnd w:id="89"/>
    <w:p>
      <w:pPr>
        <w:jc w:val="both"/>
        <w:ind w:firstLine="1230"/>
        <w:spacing w:after="0" w:line="260" w:lineRule="auto"/>
        <w:tabs>
          <w:tab w:leader="none" w:pos="1902" w:val="left"/>
        </w:tabs>
        <w:numPr>
          <w:ilvl w:val="2"/>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Rights of the Company; Release of Liability. </w:t>
      </w:r>
      <w:r>
        <w:rPr>
          <w:rFonts w:ascii="Times New Roman" w:cs="Times New Roman" w:eastAsia="Times New Roman" w:hAnsi="Times New Roman"/>
          <w:sz w:val="19"/>
          <w:szCs w:val="19"/>
          <w:color w:val="auto"/>
        </w:rPr>
        <w:t>It is the mutual intention of the Executive and the Company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 which payments would otherwise be made pursuant to this Agreement and</w:t>
      </w:r>
    </w:p>
    <w:p>
      <w:pPr>
        <w:spacing w:after="0" w:line="6" w:lineRule="exact"/>
        <w:rPr>
          <w:rFonts w:ascii="Times New Roman" w:cs="Times New Roman" w:eastAsia="Times New Roman" w:hAnsi="Times New Roman"/>
          <w:sz w:val="19"/>
          <w:szCs w:val="19"/>
          <w:color w:val="auto"/>
        </w:rPr>
      </w:pPr>
    </w:p>
    <w:p>
      <w:pPr>
        <w:jc w:val="both"/>
        <w:ind w:firstLine="2"/>
        <w:spacing w:after="0" w:line="246" w:lineRule="auto"/>
        <w:tabs>
          <w:tab w:leader="none" w:pos="29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71" w:lineRule="exact"/>
        <w:rPr>
          <w:rFonts w:ascii="Times New Roman" w:cs="Times New Roman" w:eastAsia="Times New Roman" w:hAnsi="Times New Roman"/>
          <w:sz w:val="20"/>
          <w:szCs w:val="20"/>
          <w:color w:val="auto"/>
        </w:rPr>
      </w:pPr>
    </w:p>
    <w:p>
      <w:pPr>
        <w:jc w:val="both"/>
        <w:ind w:firstLine="616"/>
        <w:spacing w:after="0" w:line="249" w:lineRule="auto"/>
        <w:tabs>
          <w:tab w:leader="none" w:pos="1308"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Future Equity Compensation. </w:t>
      </w:r>
      <w:r>
        <w:rPr>
          <w:rFonts w:ascii="Times New Roman" w:cs="Times New Roman" w:eastAsia="Times New Roman" w:hAnsi="Times New Roman"/>
          <w:sz w:val="20"/>
          <w:szCs w:val="20"/>
          <w:color w:val="auto"/>
        </w:rPr>
        <w:t>The Executive understands and acknowledges that all awards, if any, of stock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performance shares, and other forms of equity compensation by the Company are made at the sole discretion of the Board or such other 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 (b) any such award which is nevertheless granted to the Executive after the intended commencement of the Initial Term or any Extension thereof for which the Executive has failed to sign such Agreement or applicable Extension amendment shall not vest unless and until the Executive has executed the Agreement or applicable Extension amendment, notwithstanding the provisions of any agreement evidencing such award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103" w:right="339" w:bottom="1440" w:gutter="0" w:footer="0" w:header="0"/>
        </w:sectPr>
      </w:pPr>
    </w:p>
    <w:bookmarkStart w:id="90" w:name="page91"/>
    <w:bookmarkEnd w:id="90"/>
    <w:p>
      <w:pPr>
        <w:ind w:left="620"/>
        <w:spacing w:after="0"/>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b w:val="1"/>
          <w:bCs w:val="1"/>
          <w:color w:val="auto"/>
        </w:rPr>
        <w:t>Counsel.</w:t>
      </w:r>
      <w:r>
        <w:rPr>
          <w:rFonts w:ascii="Times New Roman" w:cs="Times New Roman" w:eastAsia="Times New Roman" w:hAnsi="Times New Roman"/>
          <w:sz w:val="20"/>
          <w:szCs w:val="20"/>
          <w:color w:val="auto"/>
        </w:rPr>
        <w:t xml:space="preserve"> The Executive has been advised of the Executive’s right to consult with counsel prior to executing this Agreement.</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Executive Employment Agreement effective as of the date and year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20"/>
          <w:szCs w:val="20"/>
          <w:b w:val="1"/>
          <w:bCs w:val="1"/>
          <w:color w:val="auto"/>
        </w:rPr>
        <w:t>Ross Stores, Inc. and Subsidiaries</w:t>
      </w:r>
      <w:r>
        <w:rPr>
          <w:sz w:val="20"/>
          <w:szCs w:val="20"/>
          <w:color w:val="auto"/>
        </w:rPr>
        <w:tab/>
      </w:r>
      <w:r>
        <w:rPr>
          <w:rFonts w:ascii="Times New Roman" w:cs="Times New Roman" w:eastAsia="Times New Roman" w:hAnsi="Times New Roman"/>
          <w:sz w:val="19"/>
          <w:szCs w:val="19"/>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James G.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11430</wp:posOffset>
            </wp:positionV>
            <wp:extent cx="36791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2540</wp:posOffset>
            </wp:positionV>
            <wp:extent cx="36791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679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10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Exhibit A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SEPARATION AGREEMENT AND GENERAL RELEASE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Confidential  Separation  Agreement  and  General  Release  (“Agreement”)  is  entered  into  by  and  between  ________________</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(“Executive”) and Ross Stores, Inc. and its subsidiaries (collectively “Ross” or “the Company”). In consideration for the mutual covenants and undertakings set forth below, Executive and Ross knowingly and voluntarily agree as follows:</w:t>
      </w:r>
    </w:p>
    <w:p>
      <w:pPr>
        <w:spacing w:after="0" w:line="175" w:lineRule="exact"/>
        <w:rPr>
          <w:sz w:val="20"/>
          <w:szCs w:val="20"/>
          <w:color w:val="auto"/>
        </w:rPr>
      </w:pPr>
    </w:p>
    <w:p>
      <w:pPr>
        <w:ind w:left="600" w:hanging="598"/>
        <w:spacing w:after="0"/>
        <w:tabs>
          <w:tab w:leader="none" w:pos="6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Executive’s employment with Ross terminates or terminated effective ______________ (the “Separation Date”).</w:t>
      </w:r>
    </w:p>
    <w:p>
      <w:pPr>
        <w:spacing w:after="0" w:line="204" w:lineRule="exact"/>
        <w:rPr>
          <w:rFonts w:ascii="Times New Roman" w:cs="Times New Roman" w:eastAsia="Times New Roman" w:hAnsi="Times New Roman"/>
          <w:sz w:val="20"/>
          <w:szCs w:val="20"/>
          <w:color w:val="auto"/>
        </w:rPr>
      </w:pPr>
    </w:p>
    <w:p>
      <w:pPr>
        <w:jc w:val="both"/>
        <w:ind w:left="620" w:hanging="618"/>
        <w:spacing w:after="0" w:line="262" w:lineRule="auto"/>
        <w:tabs>
          <w:tab w:leader="none" w:pos="61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Verification of Employment</w:t>
      </w:r>
      <w:r>
        <w:rPr>
          <w:rFonts w:ascii="Times New Roman" w:cs="Times New Roman" w:eastAsia="Times New Roman" w:hAnsi="Times New Roman"/>
          <w:sz w:val="20"/>
          <w:szCs w:val="20"/>
          <w:color w:val="auto"/>
        </w:rPr>
        <w:t>. Executive agrees to refer prospective employers or others seeking verification of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to the Company's third-party provider, The Work Number (1-800-367-5690 or http://www.theworknumber.com). The Work Number will verify Executive’s dates of employment and job title only.</w:t>
      </w:r>
    </w:p>
    <w:p>
      <w:pPr>
        <w:spacing w:after="0" w:line="154"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Compensation and Benefits</w:t>
      </w:r>
      <w:r>
        <w:rPr>
          <w:rFonts w:ascii="Times New Roman" w:cs="Times New Roman" w:eastAsia="Times New Roman" w:hAnsi="Times New Roman"/>
          <w:sz w:val="19"/>
          <w:szCs w:val="19"/>
          <w:color w:val="auto"/>
        </w:rPr>
        <w:t>. Ross shall pay and provide Executive the compensation and benefits set forth in Sections 8(a)(i) through</w:t>
      </w:r>
    </w:p>
    <w:p>
      <w:pPr>
        <w:spacing w:after="0" w:line="42" w:lineRule="exact"/>
        <w:rPr>
          <w:rFonts w:ascii="Times New Roman" w:cs="Times New Roman" w:eastAsia="Times New Roman" w:hAnsi="Times New Roman"/>
          <w:sz w:val="19"/>
          <w:szCs w:val="19"/>
          <w:color w:val="auto"/>
        </w:rPr>
      </w:pPr>
    </w:p>
    <w:p>
      <w:pPr>
        <w:ind w:left="620" w:hanging="4"/>
        <w:spacing w:after="0" w:line="253" w:lineRule="auto"/>
        <w:tabs>
          <w:tab w:leader="none" w:pos="1012"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Executive Employment Agreement, dated _____________ (“Executive Agreement”) in accordance with the terms of those Sections and subject to the provisions in Section 17 of the Executive Agreement regarding mitigation.</w:t>
      </w:r>
    </w:p>
    <w:p>
      <w:pPr>
        <w:spacing w:after="0" w:line="162" w:lineRule="exact"/>
        <w:rPr>
          <w:rFonts w:ascii="Times New Roman" w:cs="Times New Roman" w:eastAsia="Times New Roman" w:hAnsi="Times New Roman"/>
          <w:sz w:val="20"/>
          <w:szCs w:val="20"/>
          <w:color w:val="auto"/>
        </w:rPr>
      </w:pPr>
    </w:p>
    <w:p>
      <w:pPr>
        <w:jc w:val="both"/>
        <w:ind w:left="620" w:hanging="618"/>
        <w:spacing w:after="0" w:line="252" w:lineRule="auto"/>
        <w:tabs>
          <w:tab w:leader="none" w:pos="61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In consideration for Ross’ promises herein, Executive knowingly and voluntarily releases and forever discharges Ross,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parent corporations, affiliates, subsidiaries, divisions, successors and assignees, as well as the current and former employees, attorneys, officers, directors, and agents thereof of each (collectively referred to throughout the remainder of this Agreement as “Releasees”),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6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VII of the Civil Rights Act of 1964,</w:t>
      </w:r>
    </w:p>
    <w:p>
      <w:pPr>
        <w:spacing w:after="0" w:line="22"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National Labor Relations Act,</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Civil Rights Act of 1991</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1981 through 1988 of Title 42 of the United States Code,</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Retirement Income Security Act of 1974,</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Immigration Reform and Control Act,</w:t>
      </w: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of 1990, the Age Discrimination in Employment Act of 1967,</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Workers Adjustments and Retraining Notification Act,</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Occupational Safety and Health Act,</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Sarbanes-Oxley Act of 2002</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Equal Pay Act of 1963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436245</wp:posOffset>
            </wp:positionV>
            <wp:extent cx="1527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436245</wp:posOffset>
            </wp:positionV>
            <wp:extent cx="15189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3" w:right="339" w:bottom="1440" w:gutter="0" w:footer="0" w:header="0"/>
        </w:sectPr>
      </w:pPr>
    </w:p>
    <w:bookmarkStart w:id="92" w:name="page93"/>
    <w:bookmarkEnd w:id="92"/>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Civil Rights Act,</w:t>
      </w:r>
    </w:p>
    <w:p>
      <w:pPr>
        <w:spacing w:after="0" w:line="22"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Equal Pay Law</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Human Rights Law</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Labor Law</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Workers’ Compensation Law (Section 125)</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discrimination under the New York Corrections Law</w:t>
      </w: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City Administrative Code and Charter</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Discrimination in Employment Act</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Whistleblowers’ Protection Act</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Wage Payment and Collection Act</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Persons With Disabilities Employment Protections Act</w:t>
      </w:r>
    </w:p>
    <w:p>
      <w:pPr>
        <w:ind w:left="1240" w:right="80" w:hanging="317"/>
        <w:spacing w:after="0" w:line="246" w:lineRule="auto"/>
        <w:tabs>
          <w:tab w:leader="none" w:pos="12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as amended and any other federal, state or local civil or human rights law, any other local, state or federal law, regulation or ordinance</w:t>
      </w:r>
    </w:p>
    <w:p>
      <w:pPr>
        <w:spacing w:after="0" w:line="1"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public policy, any contract, tort, or common law, and including any claims for costs, attorneys’ fees, or other expenses,</w:t>
      </w:r>
    </w:p>
    <w:p>
      <w:pPr>
        <w:spacing w:after="0" w:line="208" w:lineRule="exact"/>
        <w:rPr>
          <w:sz w:val="20"/>
          <w:szCs w:val="20"/>
          <w:color w:val="auto"/>
        </w:rPr>
      </w:pPr>
    </w:p>
    <w:p>
      <w:pPr>
        <w:ind w:left="620"/>
        <w:spacing w:after="0" w:line="281" w:lineRule="auto"/>
        <w:rPr>
          <w:sz w:val="20"/>
          <w:szCs w:val="20"/>
          <w:color w:val="auto"/>
        </w:rPr>
      </w:pPr>
      <w:r>
        <w:rPr>
          <w:rFonts w:ascii="Times New Roman" w:cs="Times New Roman" w:eastAsia="Times New Roman" w:hAnsi="Times New Roman"/>
          <w:sz w:val="20"/>
          <w:szCs w:val="20"/>
          <w:color w:val="auto"/>
        </w:rPr>
        <w:t>Notwithstanding anything set forth in this Agreement, this release of claims excludes and does not apply to any claims that cannot be released under applicable law, such as worker’s compensation and unemployment compensation claims.</w:t>
      </w:r>
    </w:p>
    <w:p>
      <w:pPr>
        <w:spacing w:after="0" w:line="135" w:lineRule="exact"/>
        <w:rPr>
          <w:sz w:val="20"/>
          <w:szCs w:val="20"/>
          <w:color w:val="auto"/>
        </w:rPr>
      </w:pPr>
    </w:p>
    <w:p>
      <w:pPr>
        <w:ind w:left="620" w:hanging="618"/>
        <w:spacing w:after="0" w:line="285" w:lineRule="auto"/>
        <w:tabs>
          <w:tab w:leader="none" w:pos="61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Filed Claims</w:t>
      </w:r>
      <w:r>
        <w:rPr>
          <w:rFonts w:ascii="Times New Roman" w:cs="Times New Roman" w:eastAsia="Times New Roman" w:hAnsi="Times New Roman"/>
          <w:sz w:val="20"/>
          <w:szCs w:val="20"/>
          <w:color w:val="auto"/>
        </w:rPr>
        <w:t>. Executive represents that, prior to Executive’s execution of this Agreement, Executive did not file any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or lawsuit against any of the Releasees with any court or regulatory agency or in any arbitral forum.</w:t>
      </w:r>
    </w:p>
    <w:p>
      <w:pPr>
        <w:spacing w:after="0" w:line="131" w:lineRule="exact"/>
        <w:rPr>
          <w:rFonts w:ascii="Times New Roman" w:cs="Times New Roman" w:eastAsia="Times New Roman" w:hAnsi="Times New Roman"/>
          <w:sz w:val="20"/>
          <w:szCs w:val="20"/>
          <w:color w:val="auto"/>
        </w:rPr>
      </w:pPr>
    </w:p>
    <w:p>
      <w:pPr>
        <w:jc w:val="both"/>
        <w:ind w:left="620" w:hanging="618"/>
        <w:spacing w:after="0" w:line="261" w:lineRule="auto"/>
        <w:tabs>
          <w:tab w:leader="none" w:pos="61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Participation/Communication Rights and Obligations</w:t>
      </w:r>
      <w:r>
        <w:rPr>
          <w:rFonts w:ascii="Times New Roman" w:cs="Times New Roman" w:eastAsia="Times New Roman" w:hAnsi="Times New Roman"/>
          <w:sz w:val="19"/>
          <w:szCs w:val="19"/>
          <w:color w:val="auto"/>
        </w:rPr>
        <w:t>. Nothing in this Agreement precludes Executive from filing a charge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To the fullest extent permitted by law, Executive hereby agrees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556260</wp:posOffset>
            </wp:positionV>
            <wp:extent cx="1527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556260</wp:posOffset>
            </wp:positionV>
            <wp:extent cx="1518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50" w:right="339" w:bottom="1440" w:gutter="0" w:footer="0" w:header="0"/>
        </w:sectPr>
      </w:pPr>
    </w:p>
    <w:bookmarkStart w:id="93" w:name="page94"/>
    <w:bookmarkEnd w:id="93"/>
    <w:p>
      <w:pPr>
        <w:ind w:left="620"/>
        <w:spacing w:after="0" w:line="268" w:lineRule="auto"/>
        <w:rPr>
          <w:sz w:val="20"/>
          <w:szCs w:val="20"/>
          <w:color w:val="auto"/>
        </w:rPr>
      </w:pPr>
      <w:r>
        <w:rPr>
          <w:rFonts w:ascii="Times New Roman" w:cs="Times New Roman" w:eastAsia="Times New Roman" w:hAnsi="Times New Roman"/>
          <w:sz w:val="20"/>
          <w:szCs w:val="20"/>
          <w:color w:val="auto"/>
        </w:rPr>
        <w:t>proceeding, if the individual (A) files any document containing the trade secret under seal; and (B) does not disclose the trade secret, except pursuant to court order.</w:t>
      </w:r>
    </w:p>
    <w:p>
      <w:pPr>
        <w:spacing w:after="0" w:line="160" w:lineRule="exact"/>
        <w:rPr>
          <w:sz w:val="20"/>
          <w:szCs w:val="20"/>
          <w:color w:val="auto"/>
        </w:rPr>
      </w:pPr>
    </w:p>
    <w:p>
      <w:pPr>
        <w:jc w:val="both"/>
        <w:ind w:left="620" w:hanging="618"/>
        <w:spacing w:after="0" w:line="255" w:lineRule="auto"/>
        <w:tabs>
          <w:tab w:leader="none" w:pos="61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Compensation or Benefits</w:t>
      </w:r>
      <w:r>
        <w:rPr>
          <w:rFonts w:ascii="Times New Roman" w:cs="Times New Roman" w:eastAsia="Times New Roman" w:hAnsi="Times New Roman"/>
          <w:sz w:val="20"/>
          <w:szCs w:val="20"/>
          <w:color w:val="auto"/>
        </w:rPr>
        <w:t>. Executive affirms that Executive has been paid and/or has received all leave (paid or unpaid),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160" w:lineRule="exact"/>
        <w:rPr>
          <w:rFonts w:ascii="Times New Roman" w:cs="Times New Roman" w:eastAsia="Times New Roman" w:hAnsi="Times New Roman"/>
          <w:sz w:val="20"/>
          <w:szCs w:val="20"/>
          <w:color w:val="auto"/>
        </w:rPr>
      </w:pPr>
    </w:p>
    <w:p>
      <w:pPr>
        <w:jc w:val="both"/>
        <w:ind w:left="620" w:hanging="618"/>
        <w:spacing w:after="0" w:line="252" w:lineRule="auto"/>
        <w:tabs>
          <w:tab w:leader="none" w:pos="61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Acknowledgements Regarding Employment Matters</w:t>
      </w:r>
      <w:r>
        <w:rPr>
          <w:rFonts w:ascii="Times New Roman" w:cs="Times New Roman" w:eastAsia="Times New Roman" w:hAnsi="Times New Roman"/>
          <w:sz w:val="20"/>
          <w:szCs w:val="20"/>
          <w:color w:val="auto"/>
        </w:rPr>
        <w:t>. Executive affirms that Executive has no known workplace injuries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occupational diseases and has been provided and/or has 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164" w:lineRule="exact"/>
        <w:rPr>
          <w:rFonts w:ascii="Times New Roman" w:cs="Times New Roman" w:eastAsia="Times New Roman" w:hAnsi="Times New Roman"/>
          <w:sz w:val="20"/>
          <w:szCs w:val="20"/>
          <w:color w:val="auto"/>
        </w:rPr>
      </w:pPr>
    </w:p>
    <w:p>
      <w:pPr>
        <w:jc w:val="both"/>
        <w:ind w:left="620" w:hanging="618"/>
        <w:spacing w:after="0" w:line="248" w:lineRule="auto"/>
        <w:tabs>
          <w:tab w:leader="none" w:pos="61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The parties expressly acknowledge that those certain employment obligations set forth in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specifically the non-compete provisions in Section 9(b), the non-solicitation of employees provisions in Section 9(c), the non-solicitation of third parties provisions in Section 9(d), and the non-disparagement provisions in Section 9(e) of the Executive Agreement, shall remain in full force and effect for the time period(s) specified in those provisions. In addition, to the extent applicable law considers the reason for termination in determining whether to enforce the employment obligations in Sections 9(b), (c) or (d),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 Notwithstanding anything set forth in this Agreement or in the Executive Agreement, the employment obligations referenced in this paragraph, and any claim or dispute arising therefrom, shall be governed, interpreted and enforced in accordance with the laws of the State of Delaware (where Ross is incorporated) without regard to its conflict or choice of law provisions.</w:t>
      </w:r>
    </w:p>
    <w:p>
      <w:pPr>
        <w:spacing w:after="0" w:line="179" w:lineRule="exact"/>
        <w:rPr>
          <w:rFonts w:ascii="Times New Roman" w:cs="Times New Roman" w:eastAsia="Times New Roman" w:hAnsi="Times New Roman"/>
          <w:sz w:val="20"/>
          <w:szCs w:val="20"/>
          <w:color w:val="auto"/>
        </w:rPr>
      </w:pPr>
    </w:p>
    <w:p>
      <w:pPr>
        <w:jc w:val="both"/>
        <w:ind w:left="620" w:hanging="618"/>
        <w:spacing w:after="0" w:line="250" w:lineRule="auto"/>
        <w:tabs>
          <w:tab w:leader="none" w:pos="60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Documents, Material, Information and Property</w:t>
      </w:r>
      <w:r>
        <w:rPr>
          <w:rFonts w:ascii="Times New Roman" w:cs="Times New Roman" w:eastAsia="Times New Roman" w:hAnsi="Times New Roman"/>
          <w:sz w:val="20"/>
          <w:szCs w:val="20"/>
          <w:color w:val="auto"/>
        </w:rPr>
        <w:t>. By no later than the Separation Date, Executive agrees to return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556895</wp:posOffset>
            </wp:positionV>
            <wp:extent cx="1527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556895</wp:posOffset>
            </wp:positionV>
            <wp:extent cx="1518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50" w:right="339" w:bottom="1440" w:gutter="0" w:footer="0" w:header="0"/>
        </w:sectPr>
      </w:pPr>
    </w:p>
    <w:bookmarkStart w:id="94" w:name="page95"/>
    <w:bookmarkEnd w:id="94"/>
    <w:p>
      <w:pPr>
        <w:jc w:val="both"/>
        <w:ind w:left="620"/>
        <w:spacing w:after="0" w:line="253" w:lineRule="auto"/>
        <w:rPr>
          <w:sz w:val="20"/>
          <w:szCs w:val="20"/>
          <w:color w:val="auto"/>
        </w:rPr>
      </w:pPr>
      <w:r>
        <w:rPr>
          <w:rFonts w:ascii="Times New Roman" w:cs="Times New Roman" w:eastAsia="Times New Roman" w:hAnsi="Times New Roman"/>
          <w:sz w:val="20"/>
          <w:szCs w:val="20"/>
          <w:color w:val="auto"/>
        </w:rPr>
        <w:t>learned in the course and scope of Executive’s employment (“Company Property”). Executive represents that Executive has made a diligent search to locate any such documents, property and information, and that Executive has permanently deleted and expunged all Ross 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third-party and will not do so in the future.</w:t>
      </w:r>
    </w:p>
    <w:p>
      <w:pPr>
        <w:spacing w:after="0" w:line="165" w:lineRule="exact"/>
        <w:rPr>
          <w:sz w:val="20"/>
          <w:szCs w:val="20"/>
          <w:color w:val="auto"/>
        </w:rPr>
      </w:pPr>
    </w:p>
    <w:p>
      <w:pPr>
        <w:jc w:val="both"/>
        <w:ind w:left="620" w:hanging="618"/>
        <w:spacing w:after="0" w:line="249" w:lineRule="auto"/>
        <w:tabs>
          <w:tab w:leader="none" w:pos="60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Executive further agrees to be available as needed and fully cooperate with Ross in defending any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 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ensure a smooth transition of responsibilities and to minimize any adverse consequences of Executive’s departure.</w:t>
      </w:r>
    </w:p>
    <w:p>
      <w:pPr>
        <w:spacing w:after="0" w:line="167" w:lineRule="exact"/>
        <w:rPr>
          <w:rFonts w:ascii="Times New Roman" w:cs="Times New Roman" w:eastAsia="Times New Roman" w:hAnsi="Times New Roman"/>
          <w:sz w:val="20"/>
          <w:szCs w:val="20"/>
          <w:color w:val="auto"/>
        </w:rPr>
      </w:pPr>
    </w:p>
    <w:p>
      <w:pPr>
        <w:jc w:val="both"/>
        <w:ind w:left="620" w:hanging="618"/>
        <w:spacing w:after="0" w:line="259" w:lineRule="auto"/>
        <w:tabs>
          <w:tab w:leader="none" w:pos="60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Executive agrees that this is a private agreement and that Executive will not disclose or discuss the fact that it exists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discuss or disclose its terms with anyone other than Executive’s spouse, attorney, and accountant, or as required by law. Further, nothing in this Agreement shall limit the Executive’s right to disclose the underlying facts or circumstances of any claims of discrimination, harassment, sexual harassment, sexual assault, or retaliation.</w:t>
      </w:r>
    </w:p>
    <w:p>
      <w:pPr>
        <w:spacing w:after="0" w:line="158"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Except as required by law, Executive agrees not to make, publish or issue, or cause to be made, published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any untrue, disparaging or derogatory statements concerning the Company or any Releasee.</w:t>
      </w:r>
    </w:p>
    <w:p>
      <w:pPr>
        <w:spacing w:after="0" w:line="156"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Medicare Representation</w:t>
      </w:r>
      <w:r>
        <w:rPr>
          <w:rFonts w:ascii="Times New Roman" w:cs="Times New Roman" w:eastAsia="Times New Roman" w:hAnsi="Times New Roman"/>
          <w:sz w:val="20"/>
          <w:szCs w:val="20"/>
          <w:color w:val="auto"/>
        </w:rPr>
        <w:t>. Executive warrants that Executive is not a Medicare beneficiary as of the date of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no conditional payments are required to be made to Medicare.</w:t>
      </w:r>
    </w:p>
    <w:p>
      <w:pPr>
        <w:spacing w:after="0" w:line="156" w:lineRule="exact"/>
        <w:rPr>
          <w:rFonts w:ascii="Times New Roman" w:cs="Times New Roman" w:eastAsia="Times New Roman" w:hAnsi="Times New Roman"/>
          <w:sz w:val="20"/>
          <w:szCs w:val="20"/>
          <w:color w:val="auto"/>
        </w:rPr>
      </w:pPr>
    </w:p>
    <w:p>
      <w:pPr>
        <w:jc w:val="both"/>
        <w:ind w:left="620" w:hanging="618"/>
        <w:spacing w:after="0" w:line="250" w:lineRule="auto"/>
        <w:tabs>
          <w:tab w:leader="none" w:pos="60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Code Section 409A</w:t>
      </w:r>
      <w:r>
        <w:rPr>
          <w:rFonts w:ascii="Times New Roman" w:cs="Times New Roman" w:eastAsia="Times New Roman" w:hAnsi="Times New Roman"/>
          <w:sz w:val="20"/>
          <w:szCs w:val="20"/>
          <w:color w:val="auto"/>
        </w:rPr>
        <w:t>. This Agreement is intended to comply with Section 409A of the Internal Revenue Code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 The Executive hereby releases and holds harmless the Company, its directors, officers and stockholders from any and all claims that may arise from or relate to any tax liability, penalties, interest, costs,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556895</wp:posOffset>
            </wp:positionV>
            <wp:extent cx="1527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556895</wp:posOffset>
            </wp:positionV>
            <wp:extent cx="1518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50" w:right="339" w:bottom="1440" w:gutter="0" w:footer="0" w:header="0"/>
        </w:sectPr>
      </w:pPr>
    </w:p>
    <w:bookmarkStart w:id="95" w:name="page96"/>
    <w:bookmarkEnd w:id="95"/>
    <w:p>
      <w:pPr>
        <w:ind w:left="620"/>
        <w:spacing w:after="0"/>
        <w:rPr>
          <w:sz w:val="20"/>
          <w:szCs w:val="20"/>
          <w:color w:val="auto"/>
        </w:rPr>
      </w:pPr>
      <w:r>
        <w:rPr>
          <w:rFonts w:ascii="Times New Roman" w:cs="Times New Roman" w:eastAsia="Times New Roman" w:hAnsi="Times New Roman"/>
          <w:sz w:val="20"/>
          <w:szCs w:val="20"/>
          <w:color w:val="auto"/>
        </w:rPr>
        <w:t>or other liability incurred by the Executive as a result of the application of Code Section 409A.</w:t>
      </w:r>
    </w:p>
    <w:p>
      <w:pPr>
        <w:spacing w:after="0" w:line="201" w:lineRule="exact"/>
        <w:rPr>
          <w:sz w:val="20"/>
          <w:szCs w:val="20"/>
          <w:color w:val="auto"/>
        </w:rPr>
      </w:pPr>
    </w:p>
    <w:p>
      <w:pPr>
        <w:jc w:val="both"/>
        <w:ind w:left="620" w:hanging="618"/>
        <w:spacing w:after="0" w:line="262" w:lineRule="auto"/>
        <w:tabs>
          <w:tab w:leader="none" w:pos="60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Forum Selection</w:t>
      </w:r>
      <w:r>
        <w:rPr>
          <w:rFonts w:ascii="Times New Roman" w:cs="Times New Roman" w:eastAsia="Times New Roman" w:hAnsi="Times New Roman"/>
          <w:sz w:val="20"/>
          <w:szCs w:val="20"/>
          <w:color w:val="auto"/>
        </w:rPr>
        <w:t>. Any action arising out of this Agreement or an alleged breach of this Agreement shall be brought only in the County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New York in the State of New York. Unless otherwise ordered, only the provisions of this Agreement in dispute or alleged to have been breached shall be disclosed in any such action.</w:t>
      </w:r>
    </w:p>
    <w:p>
      <w:pPr>
        <w:spacing w:after="0" w:line="167"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This Agreement shall be governed, interpreted and enforced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Ross is incorporated) without regard to its conflict or choice of law provisions.</w:t>
      </w:r>
    </w:p>
    <w:p>
      <w:pPr>
        <w:spacing w:after="0" w:line="143" w:lineRule="exact"/>
        <w:rPr>
          <w:rFonts w:ascii="Times New Roman" w:cs="Times New Roman" w:eastAsia="Times New Roman" w:hAnsi="Times New Roman"/>
          <w:sz w:val="20"/>
          <w:szCs w:val="20"/>
          <w:color w:val="auto"/>
        </w:rPr>
      </w:pPr>
    </w:p>
    <w:p>
      <w:pPr>
        <w:ind w:left="620" w:hanging="618"/>
        <w:spacing w:after="0" w:line="285" w:lineRule="auto"/>
        <w:tabs>
          <w:tab w:leader="none" w:pos="60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is found to be invalid or unenforceable, the remaining parts of the Agreement will remain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effect as if no invalid or unenforceable part existed.</w:t>
      </w:r>
    </w:p>
    <w:p>
      <w:pPr>
        <w:spacing w:after="0" w:line="131" w:lineRule="exact"/>
        <w:rPr>
          <w:rFonts w:ascii="Times New Roman" w:cs="Times New Roman" w:eastAsia="Times New Roman" w:hAnsi="Times New Roman"/>
          <w:sz w:val="20"/>
          <w:szCs w:val="20"/>
          <w:color w:val="auto"/>
        </w:rPr>
      </w:pPr>
    </w:p>
    <w:p>
      <w:pPr>
        <w:jc w:val="both"/>
        <w:ind w:left="620" w:hanging="618"/>
        <w:spacing w:after="0" w:line="263" w:lineRule="auto"/>
        <w:tabs>
          <w:tab w:leader="none" w:pos="609"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19"/>
          <w:szCs w:val="19"/>
          <w:color w:val="auto"/>
        </w:rPr>
        <w:t>. This Agreement sets forth the entire agreement between the parties hereto, and fully supersedes all prior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 Options Following Termination), Section 13 (Insurance and Indemnity), Section 17 (Mitigation), and Section 19 (Arbitration) and the “Arbitration Agreement” referenced therein,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154" w:lineRule="exact"/>
        <w:rPr>
          <w:rFonts w:ascii="Times New Roman" w:cs="Times New Roman" w:eastAsia="Times New Roman" w:hAnsi="Times New Roman"/>
          <w:sz w:val="19"/>
          <w:szCs w:val="19"/>
          <w:color w:val="auto"/>
        </w:rPr>
      </w:pPr>
    </w:p>
    <w:p>
      <w:pPr>
        <w:jc w:val="both"/>
        <w:ind w:left="620" w:hanging="618"/>
        <w:spacing w:after="0" w:line="262" w:lineRule="auto"/>
        <w:tabs>
          <w:tab w:leader="none" w:pos="60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 counterparts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shall constitute one agreement binding on all of the parties hereto. The Agreement may be signed and transmitted electronically, and such signatures shall be binding and deemed originals for purposes of enforcing this Agreement.</w:t>
      </w:r>
    </w:p>
    <w:p>
      <w:pPr>
        <w:spacing w:after="0" w:line="167"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Advice of Counsel</w:t>
      </w:r>
      <w:r>
        <w:rPr>
          <w:rFonts w:ascii="Times New Roman" w:cs="Times New Roman" w:eastAsia="Times New Roman" w:hAnsi="Times New Roman"/>
          <w:sz w:val="20"/>
          <w:szCs w:val="20"/>
          <w:color w:val="auto"/>
        </w:rPr>
        <w:t>. Executive is advised to discuss this Agreement with an attorney of Executive’s choice and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has been given ample opportunity to do so and has, in fact, done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543560</wp:posOffset>
            </wp:positionV>
            <wp:extent cx="1527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543560</wp:posOffset>
            </wp:positionV>
            <wp:extent cx="1518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50" w:right="339" w:bottom="1440" w:gutter="0" w:footer="0" w:header="0"/>
        </w:sectPr>
      </w:pPr>
    </w:p>
    <w:bookmarkStart w:id="96" w:name="page97"/>
    <w:bookmarkEnd w:id="96"/>
    <w:p>
      <w:pPr>
        <w:ind w:left="618" w:hanging="618"/>
        <w:spacing w:after="0" w:line="272" w:lineRule="auto"/>
        <w:tabs>
          <w:tab w:leader="none" w:pos="60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Knowing and Voluntary</w:t>
      </w:r>
      <w:r>
        <w:rPr>
          <w:rFonts w:ascii="Times New Roman" w:cs="Times New Roman" w:eastAsia="Times New Roman" w:hAnsi="Times New Roman"/>
          <w:sz w:val="20"/>
          <w:szCs w:val="20"/>
          <w:color w:val="auto"/>
        </w:rPr>
        <w:t>. Executive acknowledges that Executive is entering into this Agreement freely, knowingly and voluntarily,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duress or coercion, and with a full understanding of its terms. Executive further acknowledges that Executive</w:t>
      </w:r>
    </w:p>
    <w:p>
      <w:pPr>
        <w:spacing w:after="0" w:line="160" w:lineRule="exact"/>
        <w:rPr>
          <w:rFonts w:ascii="Times New Roman" w:cs="Times New Roman" w:eastAsia="Times New Roman" w:hAnsi="Times New Roman"/>
          <w:sz w:val="20"/>
          <w:szCs w:val="20"/>
          <w:color w:val="auto"/>
        </w:rPr>
      </w:pPr>
    </w:p>
    <w:p>
      <w:pPr>
        <w:ind w:left="1238" w:hanging="624"/>
        <w:spacing w:after="0"/>
        <w:tabs>
          <w:tab w:leader="none" w:pos="123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carefully read and understands this Agreement;</w:t>
      </w:r>
    </w:p>
    <w:p>
      <w:pPr>
        <w:spacing w:after="0" w:line="217" w:lineRule="exact"/>
        <w:rPr>
          <w:rFonts w:ascii="Times New Roman" w:cs="Times New Roman" w:eastAsia="Times New Roman" w:hAnsi="Times New Roman"/>
          <w:sz w:val="20"/>
          <w:szCs w:val="20"/>
          <w:color w:val="auto"/>
        </w:rPr>
      </w:pPr>
    </w:p>
    <w:p>
      <w:pPr>
        <w:jc w:val="both"/>
        <w:ind w:left="618" w:hanging="4"/>
        <w:spacing w:after="0" w:line="260" w:lineRule="auto"/>
        <w:tabs>
          <w:tab w:leader="none" w:pos="123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through this Agreement, releasing Ross from any and all claims Executive may have against it that have arisen prior to or as of the date of this Agreement, including but not limited to, rights or claims arising under the Age Discrimination in Employment Act of 1967;</w:t>
      </w:r>
    </w:p>
    <w:p>
      <w:pPr>
        <w:spacing w:after="0" w:line="160" w:lineRule="exact"/>
        <w:rPr>
          <w:rFonts w:ascii="Times New Roman" w:cs="Times New Roman" w:eastAsia="Times New Roman" w:hAnsi="Times New Roman"/>
          <w:sz w:val="20"/>
          <w:szCs w:val="20"/>
          <w:color w:val="auto"/>
        </w:rPr>
      </w:pPr>
    </w:p>
    <w:p>
      <w:pPr>
        <w:ind w:left="1238" w:hanging="624"/>
        <w:spacing w:after="0"/>
        <w:tabs>
          <w:tab w:leader="none" w:pos="123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agrees to all of the terms set forth in this Agreement; and</w:t>
      </w:r>
    </w:p>
    <w:p>
      <w:pPr>
        <w:spacing w:after="0" w:line="217" w:lineRule="exact"/>
        <w:rPr>
          <w:rFonts w:ascii="Times New Roman" w:cs="Times New Roman" w:eastAsia="Times New Roman" w:hAnsi="Times New Roman"/>
          <w:sz w:val="20"/>
          <w:szCs w:val="20"/>
          <w:color w:val="auto"/>
        </w:rPr>
      </w:pPr>
    </w:p>
    <w:p>
      <w:pPr>
        <w:ind w:left="1218" w:hanging="604"/>
        <w:spacing w:after="0"/>
        <w:tabs>
          <w:tab w:leader="none" w:pos="121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intends to be legally bound by the terms of this Agreement;</w:t>
      </w:r>
    </w:p>
    <w:p>
      <w:pPr>
        <w:spacing w:after="0" w:line="205" w:lineRule="exact"/>
        <w:rPr>
          <w:sz w:val="20"/>
          <w:szCs w:val="20"/>
          <w:color w:val="auto"/>
        </w:rPr>
      </w:pPr>
    </w:p>
    <w:p>
      <w:pPr>
        <w:ind w:left="618"/>
        <w:spacing w:after="0" w:line="268" w:lineRule="auto"/>
        <w:rPr>
          <w:sz w:val="20"/>
          <w:szCs w:val="20"/>
          <w:color w:val="auto"/>
        </w:rPr>
      </w:pPr>
      <w:r>
        <w:rPr>
          <w:rFonts w:ascii="Times New Roman" w:cs="Times New Roman" w:eastAsia="Times New Roman" w:hAnsi="Times New Roman"/>
          <w:sz w:val="20"/>
          <w:szCs w:val="20"/>
          <w:color w:val="auto"/>
        </w:rPr>
        <w:t>The following subparagraphs shall be applicable only if Executive is forty years of age or older at the time Executive signs this Agreement.</w:t>
      </w:r>
    </w:p>
    <w:p>
      <w:pPr>
        <w:spacing w:after="0" w:line="164" w:lineRule="exact"/>
        <w:rPr>
          <w:sz w:val="20"/>
          <w:szCs w:val="20"/>
          <w:color w:val="auto"/>
        </w:rPr>
      </w:pPr>
    </w:p>
    <w:p>
      <w:pPr>
        <w:jc w:val="both"/>
        <w:ind w:left="618" w:hanging="4"/>
        <w:spacing w:after="0" w:line="260" w:lineRule="auto"/>
        <w:tabs>
          <w:tab w:leader="none" w:pos="12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160" w:lineRule="exact"/>
        <w:rPr>
          <w:rFonts w:ascii="Times New Roman" w:cs="Times New Roman" w:eastAsia="Times New Roman" w:hAnsi="Times New Roman"/>
          <w:sz w:val="20"/>
          <w:szCs w:val="20"/>
          <w:color w:val="auto"/>
        </w:rPr>
      </w:pPr>
    </w:p>
    <w:p>
      <w:pPr>
        <w:jc w:val="both"/>
        <w:ind w:left="618" w:hanging="4"/>
        <w:spacing w:after="0" w:line="253" w:lineRule="auto"/>
        <w:tabs>
          <w:tab w:leader="none" w:pos="122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a full seven (7) days following the execution of this Agreement to revoke this Agreement (the “Revocation Period") by providing written revocation notice to the Company’s General Counsel or such other person as the Company designates. The revocation must be personally delivered or mailed to the General Counsel or such other person as the Company designates at 1372 Broadway New York, NY 10018 and postmarked within seven (7) calendar days of Executive’s execution of this Agreement. This Agreement shall not become effective or enforceable until the Revocation Period has expired.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
        <w:spacing w:after="0"/>
        <w:rPr>
          <w:sz w:val="20"/>
          <w:szCs w:val="20"/>
          <w:color w:val="auto"/>
        </w:rPr>
      </w:pPr>
      <w:r>
        <w:rPr>
          <w:rFonts w:ascii="Times New Roman" w:cs="Times New Roman" w:eastAsia="Times New Roman" w:hAnsi="Times New Roman"/>
          <w:sz w:val="20"/>
          <w:szCs w:val="20"/>
          <w:color w:val="auto"/>
        </w:rPr>
        <w:t>The parties hereto have knowingly and voluntarily executed this Agreement as of the date set forth below:</w:t>
      </w:r>
    </w:p>
    <w:p>
      <w:pPr>
        <w:sectPr>
          <w:pgSz w:w="11900" w:h="16838" w:orient="portrait"/>
          <w:cols w:equalWidth="0" w:num="1">
            <w:col w:w="11238"/>
          </w:cols>
          <w:pgMar w:left="322" w:top="1346" w:right="339" w:bottom="1440" w:gutter="0" w:footer="0" w:header="0"/>
        </w:sectPr>
      </w:pPr>
    </w:p>
    <w:p>
      <w:pPr>
        <w:spacing w:after="0" w:line="269"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[Executive Name]</w:t>
      </w:r>
    </w:p>
    <w:p>
      <w:pPr>
        <w:spacing w:after="0" w:line="200" w:lineRule="exact"/>
        <w:rPr>
          <w:sz w:val="20"/>
          <w:szCs w:val="20"/>
          <w:color w:val="auto"/>
        </w:rPr>
      </w:pPr>
    </w:p>
    <w:p>
      <w:pPr>
        <w:sectPr>
          <w:pgSz w:w="11900" w:h="16838" w:orient="portrait"/>
          <w:cols w:equalWidth="0" w:num="2">
            <w:col w:w="5298" w:space="720"/>
            <w:col w:w="5220"/>
          </w:cols>
          <w:pgMar w:left="322" w:top="134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Ross Stores, Inc. and</w:t>
      </w:r>
    </w:p>
    <w:p>
      <w:pPr>
        <w:spacing w:after="0" w:line="51" w:lineRule="exact"/>
        <w:rPr>
          <w:sz w:val="20"/>
          <w:szCs w:val="20"/>
          <w:color w:val="auto"/>
        </w:rPr>
      </w:pPr>
    </w:p>
    <w:p>
      <w:pPr>
        <w:sectPr>
          <w:pgSz w:w="11900" w:h="16838" w:orient="portrait"/>
          <w:cols w:equalWidth="0" w:num="2">
            <w:col w:w="5298" w:space="720"/>
            <w:col w:w="5220"/>
          </w:cols>
          <w:pgMar w:left="322" w:top="1346" w:right="339" w:bottom="1440" w:gutter="0" w:footer="0" w:header="0"/>
          <w:type w:val="continuous"/>
        </w:sectPr>
      </w:pPr>
    </w:p>
    <w:p>
      <w:pPr>
        <w:ind w:left="6338"/>
        <w:spacing w:after="0"/>
        <w:rPr>
          <w:sz w:val="20"/>
          <w:szCs w:val="20"/>
          <w:color w:val="auto"/>
        </w:rPr>
      </w:pPr>
      <w:r>
        <w:rPr>
          <w:rFonts w:ascii="Times New Roman" w:cs="Times New Roman" w:eastAsia="Times New Roman" w:hAnsi="Times New Roman"/>
          <w:sz w:val="19"/>
          <w:szCs w:val="19"/>
          <w:color w:val="auto"/>
        </w:rPr>
        <w:t>Subsidiaries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5612765</wp:posOffset>
            </wp:positionH>
            <wp:positionV relativeFrom="paragraph">
              <wp:posOffset>668655</wp:posOffset>
            </wp:positionV>
            <wp:extent cx="1527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668655</wp:posOffset>
            </wp:positionV>
            <wp:extent cx="15189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ectPr>
          <w:pgSz w:w="11900" w:h="16838" w:orient="portrait"/>
          <w:cols w:equalWidth="0" w:num="1">
            <w:col w:w="11238"/>
          </w:cols>
          <w:pgMar w:left="322" w:top="134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
        <w:spacing w:after="0"/>
        <w:tabs>
          <w:tab w:leader="none" w:pos="10197"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38"/>
          </w:cols>
          <w:pgMar w:left="322" w:top="1346" w:right="3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5" w:lineRule="exact"/>
        <w:rPr>
          <w:sz w:val="20"/>
          <w:szCs w:val="20"/>
          <w:color w:val="auto"/>
        </w:rPr>
      </w:pPr>
    </w:p>
    <w:p>
      <w:pPr>
        <w:jc w:val="both"/>
        <w:ind w:firstLine="921"/>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THIS EXECUTIVE EMPLOYMENT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effective</w:t>
      </w:r>
      <w:r>
        <w:rPr>
          <w:rFonts w:ascii="Times New Roman" w:cs="Times New Roman" w:eastAsia="Times New Roman" w:hAnsi="Times New Roman"/>
          <w:sz w:val="19"/>
          <w:szCs w:val="19"/>
          <w:b w:val="1"/>
          <w:bCs w:val="1"/>
          <w:color w:val="auto"/>
        </w:rPr>
        <w:t xml:space="preserve"> March 16, 2026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Effective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by and between Ross Stores, Inc., a Delaware corporation, and </w:t>
      </w:r>
      <w:r>
        <w:rPr>
          <w:rFonts w:ascii="Times New Roman" w:cs="Times New Roman" w:eastAsia="Times New Roman" w:hAnsi="Times New Roman"/>
          <w:sz w:val="19"/>
          <w:szCs w:val="19"/>
          <w:b w:val="1"/>
          <w:bCs w:val="1"/>
          <w:color w:val="auto"/>
        </w:rPr>
        <w:t>Michael Hartshorn</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References herein to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shall mean Ross Stores, Inc. and, where appropriate, Ross Stores, Inc. and each and any of its divisions, affiliates or subsidiaries.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8" w:lineRule="exact"/>
        <w:rPr>
          <w:sz w:val="20"/>
          <w:szCs w:val="20"/>
          <w:color w:val="auto"/>
        </w:rPr>
      </w:pPr>
    </w:p>
    <w:p>
      <w:pPr>
        <w:ind w:firstLine="616"/>
        <w:spacing w:after="0" w:line="272" w:lineRule="auto"/>
        <w:tabs>
          <w:tab w:leader="none" w:pos="122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wishes to employ the Executive, and the Executive is willing to accept such employment, as </w:t>
      </w:r>
      <w:r>
        <w:rPr>
          <w:rFonts w:ascii="Times New Roman" w:cs="Times New Roman" w:eastAsia="Times New Roman" w:hAnsi="Times New Roman"/>
          <w:sz w:val="20"/>
          <w:szCs w:val="20"/>
          <w:b w:val="1"/>
          <w:bCs w:val="1"/>
          <w:color w:val="auto"/>
        </w:rPr>
        <w:t>Group President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and Chief Operating Officer</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firstLine="616"/>
        <w:spacing w:after="0" w:line="281" w:lineRule="auto"/>
        <w:tabs>
          <w:tab w:leader="none" w:pos="121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consideration for the promises of the parties set forth below, the Company and the Executive hereby agree as follows:</w:t>
      </w:r>
    </w:p>
    <w:p>
      <w:pPr>
        <w:spacing w:after="0" w:line="201" w:lineRule="exact"/>
        <w:rPr>
          <w:sz w:val="20"/>
          <w:szCs w:val="20"/>
          <w:color w:val="auto"/>
        </w:rPr>
      </w:pPr>
    </w:p>
    <w:p>
      <w:pPr>
        <w:ind w:firstLine="616"/>
        <w:spacing w:after="0" w:line="272" w:lineRule="auto"/>
        <w:tabs>
          <w:tab w:leader="none" w:pos="122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 the provisions of Section 6 of this Agreement, the term of employment of the Executive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shall be as follows:</w:t>
      </w:r>
    </w:p>
    <w:p>
      <w:pPr>
        <w:spacing w:after="0" w:line="156"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initial term of employment of the Executive by the Company under this Agreement shall begin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Effective Date and end on </w:t>
      </w:r>
      <w:r>
        <w:rPr>
          <w:rFonts w:ascii="Times New Roman" w:cs="Times New Roman" w:eastAsia="Times New Roman" w:hAnsi="Times New Roman"/>
          <w:sz w:val="20"/>
          <w:szCs w:val="20"/>
          <w:b w:val="1"/>
          <w:bCs w:val="1"/>
          <w:color w:val="auto"/>
        </w:rPr>
        <w:t>March 31, 2030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unless extended or terminated earlier in accordance with this Agreement. The Initial Term plus any Extension (as defined in Section 1(c) hereof) thereof shall be the “</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Extension Intent Notice. </w:t>
      </w:r>
      <w:r>
        <w:rPr>
          <w:rFonts w:ascii="Times New Roman" w:cs="Times New Roman" w:eastAsia="Times New Roman" w:hAnsi="Times New Roman"/>
          <w:sz w:val="20"/>
          <w:szCs w:val="20"/>
          <w:color w:val="auto"/>
        </w:rPr>
        <w:t>By December 31, 2027, the Executive shall advise the Chief Executive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(“CEO”) or the CEO’s designee whether the Executive would like the Term of Employment extended. If the Executive does not timely notify the Company of Executive’s desire to extend (or not to extend) the Term of Employment, then such action shall be deemed to result in the Executive’s Voluntary Termination as of the Term of Employment end date unless the Company determines otherwise in its sole and absolute discretion.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65" w:lineRule="auto"/>
        <w:tabs>
          <w:tab w:leader="none" w:pos="1842"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New Agreement. </w:t>
      </w:r>
      <w:r>
        <w:rPr>
          <w:rFonts w:ascii="Times New Roman" w:cs="Times New Roman" w:eastAsia="Times New Roman" w:hAnsi="Times New Roman"/>
          <w:sz w:val="19"/>
          <w:szCs w:val="19"/>
          <w:color w:val="auto"/>
        </w:rPr>
        <w:t>Provided that, in accordance with Section 1(b) hereof, the Executive has timely notified the CEO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CEO’s designee of the Executive’s desire to extend the Executive’s employment, the Company will consider whether to offer the Executive an extension under this Agreement or a new Employment Agreement. If the Company decides in its sole and absolute discretion to offer the Executive an extension or a new Employment Agreement, the Company will notify the Executive accordingly (an "</w:t>
      </w:r>
      <w:r>
        <w:rPr>
          <w:rFonts w:ascii="Times New Roman" w:cs="Times New Roman" w:eastAsia="Times New Roman" w:hAnsi="Times New Roman"/>
          <w:sz w:val="19"/>
          <w:szCs w:val="19"/>
          <w:u w:val="single" w:color="auto"/>
          <w:color w:val="auto"/>
        </w:rPr>
        <w:t>Extension Notice</w:t>
      </w:r>
      <w:r>
        <w:rPr>
          <w:rFonts w:ascii="Times New Roman" w:cs="Times New Roman" w:eastAsia="Times New Roman" w:hAnsi="Times New Roman"/>
          <w:sz w:val="19"/>
          <w:szCs w:val="19"/>
          <w:color w:val="auto"/>
        </w:rPr>
        <w:t>") not less than one hundred eighty (180) days prior to the expiration of the Term of Employment. If the Company timely provides an Extension Notice and the Executive and the Company enter into such extension (or a new Employment Agreement), the Initial Term hereof will be extended by such additional period of time set forth in the Extension Notice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If the Company timely provides an</w:t>
      </w:r>
    </w:p>
    <w:p>
      <w:pPr>
        <w:sectPr>
          <w:pgSz w:w="11900" w:h="16838" w:orient="portrait"/>
          <w:cols w:equalWidth="0" w:num="1">
            <w:col w:w="11240"/>
          </w:cols>
          <w:pgMar w:left="320" w:top="1115" w:right="3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20"/>
          <w:szCs w:val="20"/>
          <w:color w:val="auto"/>
        </w:rPr>
        <w:t>Extension Notice and offers the Executive an extension or a new Employment Agreement providing at least comparable terms to the Executive’s then current Employment Agreement but the Executive does not agree to enter into such extension or new Employment Agreement, such action shall be deemed to result in Executive’s Voluntary Termination as of the Term of Employment end date unless the Company determines otherwise in its sole and absolute discretion.</w:t>
      </w:r>
    </w:p>
    <w:p>
      <w:pPr>
        <w:spacing w:after="0" w:line="161" w:lineRule="exact"/>
        <w:rPr>
          <w:sz w:val="20"/>
          <w:szCs w:val="20"/>
          <w:color w:val="auto"/>
        </w:rPr>
      </w:pPr>
    </w:p>
    <w:p>
      <w:pPr>
        <w:jc w:val="both"/>
        <w:ind w:firstLine="616"/>
        <w:spacing w:after="0" w:line="254" w:lineRule="auto"/>
        <w:tabs>
          <w:tab w:leader="none" w:pos="122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Position and Duties. </w:t>
      </w:r>
      <w:r>
        <w:rPr>
          <w:rFonts w:ascii="Times New Roman" w:cs="Times New Roman" w:eastAsia="Times New Roman" w:hAnsi="Times New Roman"/>
          <w:sz w:val="20"/>
          <w:szCs w:val="20"/>
          <w:color w:val="auto"/>
        </w:rPr>
        <w:t>During the Term of Employment, the Executive shall serve as</w:t>
      </w:r>
      <w:r>
        <w:rPr>
          <w:rFonts w:ascii="Times New Roman" w:cs="Times New Roman" w:eastAsia="Times New Roman" w:hAnsi="Times New Roman"/>
          <w:sz w:val="20"/>
          <w:szCs w:val="20"/>
          <w:b w:val="1"/>
          <w:bCs w:val="1"/>
          <w:color w:val="auto"/>
        </w:rPr>
        <w:t xml:space="preserve"> Group President and Chief Operating Officer</w:t>
      </w:r>
      <w:r>
        <w:rPr>
          <w:rFonts w:ascii="Times New Roman" w:cs="Times New Roman" w:eastAsia="Times New Roman" w:hAnsi="Times New Roman"/>
          <w:sz w:val="20"/>
          <w:szCs w:val="20"/>
          <w:color w:val="auto"/>
        </w:rPr>
        <w:t>. During the Term of Employment, the Executive may engage in outside activities provided (i) such activities (including but not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membership on boards of directors of not-for-profit and for-profit organizations) do not conflict with the Executive’s duties and responsibilities hereunder and (ii) the Executive obtains written approval from the CEO of any significant outside business activity in which the Executive plans to become involved, whether or not such activity is pursued for profit.</w:t>
      </w:r>
    </w:p>
    <w:p>
      <w:pPr>
        <w:spacing w:after="0" w:line="164" w:lineRule="exact"/>
        <w:rPr>
          <w:rFonts w:ascii="Times New Roman" w:cs="Times New Roman" w:eastAsia="Times New Roman" w:hAnsi="Times New Roman"/>
          <w:sz w:val="20"/>
          <w:szCs w:val="20"/>
          <w:color w:val="auto"/>
        </w:rPr>
      </w:pPr>
    </w:p>
    <w:p>
      <w:pPr>
        <w:jc w:val="both"/>
        <w:ind w:firstLine="616"/>
        <w:spacing w:after="0" w:line="262" w:lineRule="auto"/>
        <w:tabs>
          <w:tab w:leader="none" w:pos="122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Principal Place of Employment. </w:t>
      </w:r>
      <w:r>
        <w:rPr>
          <w:rFonts w:ascii="Times New Roman" w:cs="Times New Roman" w:eastAsia="Times New Roman" w:hAnsi="Times New Roman"/>
          <w:sz w:val="20"/>
          <w:szCs w:val="20"/>
          <w:color w:val="auto"/>
        </w:rPr>
        <w:t>The Executive shall be employed at the Company’s offices in</w:t>
      </w:r>
      <w:r>
        <w:rPr>
          <w:rFonts w:ascii="Times New Roman" w:cs="Times New Roman" w:eastAsia="Times New Roman" w:hAnsi="Times New Roman"/>
          <w:sz w:val="20"/>
          <w:szCs w:val="20"/>
          <w:b w:val="1"/>
          <w:bCs w:val="1"/>
          <w:color w:val="auto"/>
        </w:rPr>
        <w:t xml:space="preserve"> Dublin, CA</w:t>
      </w:r>
      <w:r>
        <w:rPr>
          <w:rFonts w:ascii="Times New Roman" w:cs="Times New Roman" w:eastAsia="Times New Roman" w:hAnsi="Times New Roman"/>
          <w:sz w:val="20"/>
          <w:szCs w:val="20"/>
          <w:color w:val="auto"/>
        </w:rPr>
        <w:t>,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travel on the Company’s business to an extent substantially consistent with present business travel obligations of the Executive’s position.</w:t>
      </w:r>
    </w:p>
    <w:p>
      <w:pPr>
        <w:spacing w:after="0" w:line="154"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Related Matters.</w:t>
      </w:r>
    </w:p>
    <w:p>
      <w:pPr>
        <w:spacing w:after="0" w:line="217" w:lineRule="exact"/>
        <w:rPr>
          <w:rFonts w:ascii="Times New Roman" w:cs="Times New Roman" w:eastAsia="Times New Roman" w:hAnsi="Times New Roman"/>
          <w:sz w:val="20"/>
          <w:szCs w:val="20"/>
          <w:color w:val="auto"/>
        </w:rPr>
      </w:pPr>
    </w:p>
    <w:p>
      <w:pPr>
        <w:jc w:val="both"/>
        <w:ind w:firstLine="1230"/>
        <w:spacing w:after="0" w:line="273" w:lineRule="auto"/>
        <w:tabs>
          <w:tab w:leader="none" w:pos="1842"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Salary. </w:t>
      </w:r>
      <w:r>
        <w:rPr>
          <w:rFonts w:ascii="Times New Roman" w:cs="Times New Roman" w:eastAsia="Times New Roman" w:hAnsi="Times New Roman"/>
          <w:sz w:val="19"/>
          <w:szCs w:val="19"/>
          <w:color w:val="auto"/>
        </w:rPr>
        <w:t>During the Term of Employment, the Company shall pay to the Executive a salary at a rate of not less than</w:t>
      </w:r>
      <w:r>
        <w:rPr>
          <w:rFonts w:ascii="Times New Roman" w:cs="Times New Roman" w:eastAsia="Times New Roman" w:hAnsi="Times New Roman"/>
          <w:sz w:val="19"/>
          <w:szCs w:val="19"/>
          <w:b w:val="1"/>
          <w:bCs w:val="1"/>
          <w:color w:val="auto"/>
        </w:rPr>
        <w:t xml:space="preserve"> One Million Three Hundred Five Thousand Dollars ($1,305,000) </w:t>
      </w:r>
      <w:r>
        <w:rPr>
          <w:rFonts w:ascii="Times New Roman" w:cs="Times New Roman" w:eastAsia="Times New Roman" w:hAnsi="Times New Roman"/>
          <w:sz w:val="19"/>
          <w:szCs w:val="19"/>
          <w:color w:val="auto"/>
        </w:rPr>
        <w:t>per annum. The Executive’s salary shall be payable in substantially equal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installments in accordance with the Company’s normal payroll practices applicable to senior executives. Subject to the first sentence of this Section 4(a), the Executive’s salary may be adjusted from time to time in accordance with normal business practices of the Company.</w:t>
      </w:r>
    </w:p>
    <w:p>
      <w:pPr>
        <w:spacing w:after="0" w:line="144" w:lineRule="exact"/>
        <w:rPr>
          <w:rFonts w:ascii="Times New Roman" w:cs="Times New Roman" w:eastAsia="Times New Roman" w:hAnsi="Times New Roman"/>
          <w:sz w:val="19"/>
          <w:szCs w:val="19"/>
          <w:color w:val="auto"/>
        </w:rPr>
      </w:pPr>
    </w:p>
    <w:p>
      <w:pPr>
        <w:jc w:val="both"/>
        <w:ind w:firstLine="1230"/>
        <w:spacing w:after="0" w:line="250" w:lineRule="auto"/>
        <w:tabs>
          <w:tab w:leader="none" w:pos="18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During the Term of Employment, the Executive shall be eligible to receive an annual bonus paid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w:t>
      </w:r>
      <w:r>
        <w:rPr>
          <w:rFonts w:ascii="Times New Roman" w:cs="Times New Roman" w:eastAsia="Times New Roman" w:hAnsi="Times New Roman"/>
          <w:sz w:val="20"/>
          <w:szCs w:val="20"/>
          <w:b w:val="1"/>
          <w:bCs w:val="1"/>
          <w:color w:val="auto"/>
        </w:rPr>
        <w:t>150%</w:t>
      </w:r>
      <w:r>
        <w:rPr>
          <w:rFonts w:ascii="Times New Roman" w:cs="Times New Roman" w:eastAsia="Times New Roman" w:hAnsi="Times New Roman"/>
          <w:sz w:val="20"/>
          <w:szCs w:val="20"/>
          <w:color w:val="auto"/>
        </w:rPr>
        <w:t xml:space="preserve"> of the Executive’s then effective annual salary rate.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181"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During the Term of Employment, the Executive shall be entitled to receive prompt reimbursement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60"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Benefits. </w:t>
      </w:r>
      <w:r>
        <w:rPr>
          <w:rFonts w:ascii="Times New Roman" w:cs="Times New Roman" w:eastAsia="Times New Roman" w:hAnsi="Times New Roman"/>
          <w:sz w:val="20"/>
          <w:szCs w:val="20"/>
          <w:color w:val="auto"/>
        </w:rPr>
        <w:t>During the Term of Employment, the Executive shall be entitled to participate in all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plans and arrangements in which senior executives of the Company are eligible to participate. The Company shall not make any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20" w:right="339" w:bottom="1440" w:gutter="0" w:footer="0" w:header="0"/>
        </w:sectPr>
      </w:pPr>
    </w:p>
    <w:bookmarkStart w:id="99" w:name="page100"/>
    <w:bookmarkEnd w:id="99"/>
    <w:p>
      <w:pPr>
        <w:jc w:val="both"/>
        <w:spacing w:after="0" w:line="249" w:lineRule="auto"/>
        <w:rPr>
          <w:sz w:val="20"/>
          <w:szCs w:val="20"/>
          <w:color w:val="auto"/>
        </w:rPr>
      </w:pPr>
      <w:r>
        <w:rPr>
          <w:rFonts w:ascii="Times New Roman" w:cs="Times New Roman" w:eastAsia="Times New Roman" w:hAnsi="Times New Roman"/>
          <w:sz w:val="20"/>
          <w:szCs w:val="20"/>
          <w:color w:val="auto"/>
        </w:rPr>
        <w:t>such plans or arrangements which would adversely affect the Executive’s rights or benefits 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68" w:lineRule="exact"/>
        <w:rPr>
          <w:sz w:val="20"/>
          <w:szCs w:val="20"/>
          <w:color w:val="auto"/>
        </w:rPr>
      </w:pPr>
    </w:p>
    <w:p>
      <w:pPr>
        <w:jc w:val="both"/>
        <w:ind w:firstLine="1230"/>
        <w:spacing w:after="0" w:line="254" w:lineRule="auto"/>
        <w:tabs>
          <w:tab w:leader="none" w:pos="1842"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Vacations. </w:t>
      </w:r>
      <w:r>
        <w:rPr>
          <w:rFonts w:ascii="Times New Roman" w:cs="Times New Roman" w:eastAsia="Times New Roman" w:hAnsi="Times New Roman"/>
          <w:sz w:val="20"/>
          <w:szCs w:val="20"/>
          <w:color w:val="auto"/>
        </w:rPr>
        <w:t>During the Term of Employment, the Executive shall be entitled to</w:t>
      </w:r>
      <w:r>
        <w:rPr>
          <w:rFonts w:ascii="Times New Roman" w:cs="Times New Roman" w:eastAsia="Times New Roman" w:hAnsi="Times New Roman"/>
          <w:sz w:val="20"/>
          <w:szCs w:val="20"/>
          <w:b w:val="1"/>
          <w:bCs w:val="1"/>
          <w:color w:val="auto"/>
        </w:rPr>
        <w:t xml:space="preserve"> twenty-five </w:t>
      </w:r>
      <w:r>
        <w:rPr>
          <w:rFonts w:ascii="Times New Roman" w:cs="Times New Roman" w:eastAsia="Times New Roman" w:hAnsi="Times New Roman"/>
          <w:sz w:val="20"/>
          <w:szCs w:val="20"/>
          <w:color w:val="auto"/>
        </w:rPr>
        <w:t>vacation days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164" w:lineRule="exact"/>
        <w:rPr>
          <w:rFonts w:ascii="Times New Roman" w:cs="Times New Roman" w:eastAsia="Times New Roman" w:hAnsi="Times New Roman"/>
          <w:sz w:val="20"/>
          <w:szCs w:val="20"/>
          <w:color w:val="auto"/>
        </w:rPr>
      </w:pPr>
    </w:p>
    <w:p>
      <w:pPr>
        <w:ind w:firstLine="1230"/>
        <w:spacing w:after="0" w:line="285" w:lineRule="auto"/>
        <w:tabs>
          <w:tab w:leader="none" w:pos="183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Furnished. </w:t>
      </w:r>
      <w:r>
        <w:rPr>
          <w:rFonts w:ascii="Times New Roman" w:cs="Times New Roman" w:eastAsia="Times New Roman" w:hAnsi="Times New Roman"/>
          <w:sz w:val="20"/>
          <w:szCs w:val="20"/>
          <w:color w:val="auto"/>
        </w:rPr>
        <w:t>The Company shall furnish the Executive with office space and such services as are suitable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Executive’s position and adequate for the performance of the Executive’s duties during the Term of Employment.</w:t>
      </w:r>
    </w:p>
    <w:p>
      <w:pPr>
        <w:spacing w:after="0" w:line="131"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 Information and Intellectual Property.</w:t>
      </w:r>
    </w:p>
    <w:p>
      <w:pPr>
        <w:spacing w:after="0" w:line="221" w:lineRule="exact"/>
        <w:rPr>
          <w:rFonts w:ascii="Times New Roman" w:cs="Times New Roman" w:eastAsia="Times New Roman" w:hAnsi="Times New Roman"/>
          <w:sz w:val="20"/>
          <w:szCs w:val="20"/>
          <w:color w:val="auto"/>
        </w:rPr>
      </w:pPr>
    </w:p>
    <w:p>
      <w:pPr>
        <w:ind w:firstLine="1230"/>
        <w:spacing w:after="0" w:line="268" w:lineRule="auto"/>
        <w:tabs>
          <w:tab w:leader="none" w:pos="1842"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intended to supplement, and not to supersede, any rights the Company may have in law or equity with respect to the protection of trade secrets or confidential or proprietary information.</w:t>
      </w:r>
    </w:p>
    <w:p>
      <w:pPr>
        <w:spacing w:after="0" w:line="151" w:lineRule="exact"/>
        <w:rPr>
          <w:rFonts w:ascii="Times New Roman" w:cs="Times New Roman" w:eastAsia="Times New Roman" w:hAnsi="Times New Roman"/>
          <w:sz w:val="20"/>
          <w:szCs w:val="20"/>
          <w:color w:val="auto"/>
        </w:rPr>
      </w:pPr>
    </w:p>
    <w:p>
      <w:pPr>
        <w:jc w:val="both"/>
        <w:ind w:firstLine="1230"/>
        <w:spacing w:after="0" w:line="258" w:lineRule="auto"/>
        <w:tabs>
          <w:tab w:leader="none" w:pos="18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162" w:lineRule="exact"/>
        <w:rPr>
          <w:rFonts w:ascii="Times New Roman" w:cs="Times New Roman" w:eastAsia="Times New Roman" w:hAnsi="Times New Roman"/>
          <w:sz w:val="20"/>
          <w:szCs w:val="20"/>
          <w:color w:val="auto"/>
        </w:rPr>
      </w:pPr>
    </w:p>
    <w:p>
      <w:pPr>
        <w:jc w:val="both"/>
        <w:ind w:firstLine="1230"/>
        <w:spacing w:after="0" w:line="248" w:lineRule="auto"/>
        <w:tabs>
          <w:tab w:leader="none" w:pos="1842"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any non-public written or unwritten information which relates to and/or is used by the Company or its subsidiaries, affiliates or divisions, including, without limitation: (i) the Company’s compilation of the buying habits and other proprietary information regarding past, present and potential customers, employees and suppliers of the Company as developed by or specifically for the Company (including, but not limited to, under the direction of the Executive while employed by the Company) and not generally known to the public; (ii) customer and supplier contracts and transactions or price lists of the Company and suppliers; (iii) the Company’s methods of distribution; (iv) all Company agreements, files, books, logs, charts, records, studies, reports, processes, schedules and statistical information that are specific to the Company’s business and/or strategy; (v) data, figures, projections, estimates, pricing data, customer lists (as described in this section) , buying manuals or procedures, distribution manuals or procedures, and other policy and procedure manuals or handbooks; (vi) supplier information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20" w:right="339" w:bottom="1440" w:gutter="0" w:footer="0" w:header="0"/>
        </w:sectPr>
      </w:pPr>
    </w:p>
    <w:bookmarkStart w:id="100" w:name="page101"/>
    <w:bookmarkEnd w:id="100"/>
    <w:p>
      <w:pPr>
        <w:jc w:val="both"/>
        <w:spacing w:after="0" w:line="247" w:lineRule="auto"/>
        <w:rPr>
          <w:sz w:val="20"/>
          <w:szCs w:val="20"/>
          <w:color w:val="auto"/>
        </w:rPr>
      </w:pPr>
      <w:r>
        <w:rPr>
          <w:rFonts w:ascii="Times New Roman" w:cs="Times New Roman" w:eastAsia="Times New Roman" w:hAnsi="Times New Roman"/>
          <w:sz w:val="20"/>
          <w:szCs w:val="20"/>
          <w:color w:val="auto"/>
        </w:rPr>
        <w:t>Company has devoted significant resources to develop and determine, tax records, personnel histories and records, sales information and property information; (vii) information regarding the present or future phases of the Company’s business; (viii) inventions, trademarks and the Company’s non-public business information processes, techniques, improvements, designs, redesigns, creations, discoveries, trade secrets, and developments; (ix) all computer software licensed or developed by the Company or its subsidiaries, affiliates or divisions, computer programs, computer-based and web-based training programs, and systems; and (x) the Company’s finances and financial information. However, Confidential Information will not include information of the Company or its subsidiaries, affiliates or divisions that (1) became or becomes a matter of public knowledge through sources independent of the Executive or (2) has been or is disclosed by the Company or its subsidiaries, affiliates or divisions without restriction on its use. To the extent that the executive is required or permitted by law or governmental order or regulation to disclose Confidential Information, the Executive shall provide prompt written notice of any such order to the Company’s CEO or CEO’s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Company’s CEO confirms to the Executive that the information is public knowledge.</w:t>
      </w:r>
    </w:p>
    <w:p>
      <w:pPr>
        <w:spacing w:after="0" w:line="185" w:lineRule="exact"/>
        <w:rPr>
          <w:sz w:val="20"/>
          <w:szCs w:val="20"/>
          <w:color w:val="auto"/>
        </w:rPr>
      </w:pPr>
    </w:p>
    <w:p>
      <w:pPr>
        <w:jc w:val="both"/>
        <w:ind w:firstLine="1230"/>
        <w:spacing w:after="0" w:line="260" w:lineRule="auto"/>
        <w:tabs>
          <w:tab w:leader="none" w:pos="18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5 shall not preclude the Executive from disclosing such information to the Executive's professional tax advisor or legal counsel solely to the extent necessary to the rendering of their professional services to the Executive if such individuals agree to keep such information confidential.</w:t>
      </w:r>
    </w:p>
    <w:p>
      <w:pPr>
        <w:spacing w:after="0" w:line="160"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76"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3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60" w:lineRule="exact"/>
        <w:rPr>
          <w:rFonts w:ascii="Times New Roman" w:cs="Times New Roman" w:eastAsia="Times New Roman" w:hAnsi="Times New Roman"/>
          <w:sz w:val="20"/>
          <w:szCs w:val="20"/>
          <w:color w:val="auto"/>
        </w:rPr>
      </w:pPr>
    </w:p>
    <w:p>
      <w:pPr>
        <w:jc w:val="both"/>
        <w:ind w:firstLine="1230"/>
        <w:spacing w:after="0" w:line="251" w:lineRule="auto"/>
        <w:tabs>
          <w:tab w:leader="none" w:pos="18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 Information) as a result of employment with the Company. The Executive further agrees to notify the CEO or the CEO’s designee immediately after being contacted by any member of the media with respect to any matter affected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20" w:right="339" w:bottom="1440" w:gutter="0" w:footer="0" w:header="0"/>
        </w:sectPr>
      </w:pPr>
    </w:p>
    <w:bookmarkStart w:id="101" w:name="page102"/>
    <w:bookmarkEnd w:id="101"/>
    <w:p>
      <w:pPr>
        <w:jc w:val="both"/>
        <w:ind w:firstLine="1230"/>
        <w:spacing w:after="0" w:line="260" w:lineRule="auto"/>
        <w:tabs>
          <w:tab w:leader="none" w:pos="18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the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 deliver any such documents on the Executive’s behalf in the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171" w:lineRule="exact"/>
        <w:rPr>
          <w:rFonts w:ascii="Times New Roman" w:cs="Times New Roman" w:eastAsia="Times New Roman" w:hAnsi="Times New Roman"/>
          <w:sz w:val="19"/>
          <w:szCs w:val="19"/>
          <w:color w:val="auto"/>
        </w:rPr>
      </w:pPr>
    </w:p>
    <w:p>
      <w:pPr>
        <w:jc w:val="both"/>
        <w:ind w:firstLine="1230"/>
        <w:spacing w:after="0" w:line="251" w:lineRule="auto"/>
        <w:tabs>
          <w:tab w:leader="none" w:pos="183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represents and warrants that, as of the Effective Date, there is no Intellectual Property that: (i) has been created by or on behalf of the Executive, and/or (ii) is owned exclusively by the Executive or jointly by the Executive with others or in which the Executive has an interest, and that relate in any way to any of the Company’s actual or proposed businesses, products, services, or research and development, and which are not assigned to the Company hereunder. The Executive understands further that the Intellectual Property will not include, and the provisions of this Agreement requiring assignment of inventions to the Company do not apply to, any invention that qualifies fully for exclusion under the provisions of Section 2870 of the California Labor Code.</w:t>
      </w:r>
    </w:p>
    <w:p>
      <w:pPr>
        <w:spacing w:after="0" w:line="181"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3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60" w:lineRule="exact"/>
        <w:rPr>
          <w:rFonts w:ascii="Times New Roman" w:cs="Times New Roman" w:eastAsia="Times New Roman" w:hAnsi="Times New Roman"/>
          <w:sz w:val="20"/>
          <w:szCs w:val="20"/>
          <w:color w:val="auto"/>
        </w:rPr>
      </w:pPr>
    </w:p>
    <w:p>
      <w:pPr>
        <w:jc w:val="both"/>
        <w:ind w:firstLine="1230"/>
        <w:spacing w:after="0" w:line="250" w:lineRule="auto"/>
        <w:tabs>
          <w:tab w:leader="none" w:pos="18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Executive’s employment, or at any time upon request of the Company, the Executive will (i) promptly return to the Company all Confidential Information and Intellectual Property, in any form, including but not limited to letters, memoranda, reports, notes, notebooks, books of account, drawings, prints, specifications, formulae, data printouts, microfilms, magnetic tapes, disks, recordings, documents, and all copies thereof, and (ii) delete or destroy all copies of any such documents and materials not returned to the Company that remain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19" w:right="339" w:bottom="1440" w:gutter="0" w:footer="0" w:header="0"/>
        </w:sectPr>
      </w:pPr>
    </w:p>
    <w:bookmarkStart w:id="102" w:name="page103"/>
    <w:bookmarkEnd w:id="102"/>
    <w:p>
      <w:pPr>
        <w:spacing w:after="0" w:line="268" w:lineRule="auto"/>
        <w:rPr>
          <w:sz w:val="20"/>
          <w:szCs w:val="20"/>
          <w:color w:val="auto"/>
        </w:rPr>
      </w:pPr>
      <w:r>
        <w:rPr>
          <w:rFonts w:ascii="Times New Roman" w:cs="Times New Roman" w:eastAsia="Times New Roman" w:hAnsi="Times New Roman"/>
          <w:sz w:val="20"/>
          <w:szCs w:val="20"/>
          <w:color w:val="auto"/>
        </w:rPr>
        <w:t>Executive’s possession or control, including those stored on any non-Company devices, networks, storage locations, and media in the Executive’s possession or control.</w:t>
      </w:r>
    </w:p>
    <w:p>
      <w:pPr>
        <w:spacing w:after="0" w:line="164" w:lineRule="exact"/>
        <w:rPr>
          <w:sz w:val="20"/>
          <w:szCs w:val="20"/>
          <w:color w:val="auto"/>
        </w:rPr>
      </w:pPr>
    </w:p>
    <w:p>
      <w:pPr>
        <w:ind w:firstLine="1230"/>
        <w:spacing w:after="0" w:line="268" w:lineRule="auto"/>
        <w:tabs>
          <w:tab w:leader="none" w:pos="1835"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shall limit the Executive’s right to disclose sexual harassment, sexual assault dispute, unlawful acts in the workplace, or restrict or impede the Executive from exercising protected rights as afforded by applicable law.</w:t>
      </w:r>
    </w:p>
    <w:p>
      <w:pPr>
        <w:spacing w:after="0" w:line="147"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Executive’s employment may be terminated during the Term of Employment only as follows:</w:t>
      </w:r>
    </w:p>
    <w:p>
      <w:pPr>
        <w:spacing w:after="0" w:line="217"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The Executive’s employment shall terminate upon the Executive’s death.</w:t>
      </w:r>
    </w:p>
    <w:p>
      <w:pPr>
        <w:spacing w:after="0" w:line="204"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0"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If, as a result of the Executive’s Disability (as defined below), the Executive shall have been absent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in accordance with Section 7(b)(ii). For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same meaning as ascribed to such term under the Company's long-term disability plan in which the Executive is participating; provided that in the absence of such plan (or the absence of the Executive's participation in such plan), Disability shall mean the Executive’s inability to substantially perform the Executive’s duties hereunder due to a medically determinable physical or mental impairment which has lasted for a period of not less than one hundred twenty (120) consecutive days.</w:t>
      </w:r>
    </w:p>
    <w:p>
      <w:pPr>
        <w:spacing w:after="0" w:line="180" w:lineRule="exact"/>
        <w:rPr>
          <w:rFonts w:ascii="Times New Roman" w:cs="Times New Roman" w:eastAsia="Times New Roman" w:hAnsi="Times New Roman"/>
          <w:sz w:val="20"/>
          <w:szCs w:val="20"/>
          <w:color w:val="auto"/>
        </w:rPr>
      </w:pPr>
    </w:p>
    <w:p>
      <w:pPr>
        <w:jc w:val="both"/>
        <w:ind w:firstLine="1230"/>
        <w:spacing w:after="0" w:line="260" w:lineRule="auto"/>
        <w:tabs>
          <w:tab w:leader="none" w:pos="1842" w:val="left"/>
        </w:tabs>
        <w:numPr>
          <w:ilvl w:val="2"/>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For Cause. </w:t>
      </w:r>
      <w:r>
        <w:rPr>
          <w:rFonts w:ascii="Times New Roman" w:cs="Times New Roman" w:eastAsia="Times New Roman" w:hAnsi="Times New Roman"/>
          <w:sz w:val="19"/>
          <w:szCs w:val="19"/>
          <w:color w:val="auto"/>
        </w:rPr>
        <w:t>The Company may terminate the Executive’s employment for Cause. For this purpose,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knowing or intentional misconduct by the Executive as a result of which the Company is required to prepare an accounting restatement; (v)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 any intentional misconduct or illegal or grossly negligent conduct by the Executive which is materially injurious to the Company monetarily or otherwise; (vii) any material breach by the Executive of the provisions of Section 9 [Certain Employment Obligations] of this Agreement; or</w:t>
      </w:r>
    </w:p>
    <w:p>
      <w:pPr>
        <w:spacing w:after="0" w:line="4" w:lineRule="exact"/>
        <w:rPr>
          <w:rFonts w:ascii="Times New Roman" w:cs="Times New Roman" w:eastAsia="Times New Roman" w:hAnsi="Times New Roman"/>
          <w:sz w:val="19"/>
          <w:szCs w:val="19"/>
          <w:color w:val="auto"/>
        </w:rPr>
      </w:pPr>
    </w:p>
    <w:p>
      <w:pPr>
        <w:jc w:val="both"/>
        <w:ind w:firstLine="2"/>
        <w:spacing w:after="0" w:line="245" w:lineRule="auto"/>
        <w:tabs>
          <w:tab w:leader="none" w:pos="50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(including any plea of guilty or nolo contendere) of any criminal act involving fraud, dishonesty, misappropriation or moral turpitude, or which materially impairs the Executive’s ability to perform Executive’s duties with the Company. A termination for Cause shall not take effect unless: (1) the Executive is given written notice by the Company of its intention to terminate the Executive for Cause; (2) the notice specifically identifies the particular act or acts or failure or failures to act which are the basis for such termination; and (3) where practicable, the notice is given within sixty days of the Company’s learning of such act or acts or failure or failures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19" w:right="339" w:bottom="1440" w:gutter="0" w:footer="0" w:header="0"/>
        </w:sectPr>
      </w:pPr>
    </w:p>
    <w:bookmarkStart w:id="103" w:name="page104"/>
    <w:bookmarkEnd w:id="103"/>
    <w:p>
      <w:pPr>
        <w:jc w:val="both"/>
        <w:ind w:firstLine="1230"/>
        <w:spacing w:after="0" w:line="262" w:lineRule="auto"/>
        <w:tabs>
          <w:tab w:leader="none" w:pos="18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Without Cause. </w:t>
      </w:r>
      <w:r>
        <w:rPr>
          <w:rFonts w:ascii="Times New Roman" w:cs="Times New Roman" w:eastAsia="Times New Roman" w:hAnsi="Times New Roman"/>
          <w:sz w:val="20"/>
          <w:szCs w:val="20"/>
          <w:color w:val="auto"/>
        </w:rPr>
        <w:t>The Company may terminate the Executive’s employment at any time Without Cause. A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Without Cause</w:t>
      </w:r>
      <w:r>
        <w:rPr>
          <w:rFonts w:ascii="Times New Roman" w:cs="Times New Roman" w:eastAsia="Times New Roman" w:hAnsi="Times New Roman"/>
          <w:sz w:val="20"/>
          <w:szCs w:val="20"/>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15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by the Executive for Good Reason.</w:t>
      </w:r>
    </w:p>
    <w:p>
      <w:pPr>
        <w:spacing w:after="0" w:line="204" w:lineRule="exact"/>
        <w:rPr>
          <w:rFonts w:ascii="Times New Roman" w:cs="Times New Roman" w:eastAsia="Times New Roman" w:hAnsi="Times New Roman"/>
          <w:sz w:val="20"/>
          <w:szCs w:val="20"/>
          <w:color w:val="auto"/>
        </w:rPr>
      </w:pPr>
    </w:p>
    <w:p>
      <w:pPr>
        <w:jc w:val="both"/>
        <w:ind w:firstLine="1844"/>
        <w:spacing w:after="0" w:line="247" w:lineRule="auto"/>
        <w:tabs>
          <w:tab w:leader="none" w:pos="2449"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Not in Connection with a Change in Control. </w:t>
      </w:r>
      <w:r>
        <w:rPr>
          <w:rFonts w:ascii="Times New Roman" w:cs="Times New Roman" w:eastAsia="Times New Roman" w:hAnsi="Times New Roman"/>
          <w:sz w:val="20"/>
          <w:szCs w:val="20"/>
          <w:color w:val="auto"/>
        </w:rPr>
        <w:t>At any time during the Term of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within the period commencing one month prior to and ending twelve months following a Change in Control (as defined below in Section 8(e)(ii)), the Executive may terminate the Executive’s employment with the Company for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Executive’s employment may be transferred, assigned, or re-assigned to Ross Stores, Inc. or a division, affiliate or subsidiary of Ross Stores, Inc.; the division, affiliate or subsidiary with respect to which the Executive is performing services may be reorganized; and the Executive’s direct reports or the person or title of the person to whom the Executive reports may be changed; and no such transfer, assignment, re-assignment, reorganization or change shall constitute “Good Reason” for the Executive’s termination of employment under this Section 6(e)(i);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78"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52"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in Connection with a Change in Control. </w:t>
      </w:r>
      <w:r>
        <w:rPr>
          <w:rFonts w:ascii="Times New Roman" w:cs="Times New Roman" w:eastAsia="Times New Roman" w:hAnsi="Times New Roman"/>
          <w:sz w:val="20"/>
          <w:szCs w:val="20"/>
          <w:color w:val="auto"/>
        </w:rPr>
        <w:t>Within the period commencing a month prior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 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 Employment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16" w:right="339" w:bottom="1440" w:gutter="0" w:footer="0" w:header="0"/>
        </w:sectPr>
      </w:pPr>
    </w:p>
    <w:bookmarkStart w:id="104" w:name="page105"/>
    <w:bookmarkEnd w:id="104"/>
    <w:p>
      <w:pPr>
        <w:jc w:val="both"/>
        <w:spacing w:after="0" w:line="251" w:lineRule="auto"/>
        <w:rPr>
          <w:sz w:val="20"/>
          <w:szCs w:val="20"/>
          <w:color w:val="auto"/>
        </w:rPr>
      </w:pPr>
      <w:r>
        <w:rPr>
          <w:rFonts w:ascii="Times New Roman" w:cs="Times New Roman" w:eastAsia="Times New Roman" w:hAnsi="Times New Roman"/>
          <w:sz w:val="20"/>
          <w:szCs w:val="20"/>
          <w:color w:val="auto"/>
        </w:rPr>
        <w:t>more than 25 miles without the Executive’s prior written consent; (iv) a change in 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65" w:lineRule="exact"/>
        <w:rPr>
          <w:sz w:val="20"/>
          <w:szCs w:val="20"/>
          <w:color w:val="auto"/>
        </w:rPr>
      </w:pPr>
    </w:p>
    <w:p>
      <w:pPr>
        <w:jc w:val="both"/>
        <w:ind w:firstLine="1230"/>
        <w:spacing w:after="0" w:line="262" w:lineRule="auto"/>
        <w:tabs>
          <w:tab w:leader="none" w:pos="1833"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Voluntary Termination. </w:t>
      </w:r>
      <w:r>
        <w:rPr>
          <w:rFonts w:ascii="Times New Roman" w:cs="Times New Roman" w:eastAsia="Times New Roman" w:hAnsi="Times New Roman"/>
          <w:sz w:val="20"/>
          <w:szCs w:val="20"/>
          <w:color w:val="auto"/>
        </w:rPr>
        <w:t>The Executive may voluntarily resign from the Executive’s employment with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time (a “</w:t>
      </w:r>
      <w:r>
        <w:rPr>
          <w:rFonts w:ascii="Times New Roman" w:cs="Times New Roman" w:eastAsia="Times New Roman" w:hAnsi="Times New Roman"/>
          <w:sz w:val="20"/>
          <w:szCs w:val="20"/>
          <w:u w:val="single" w:color="auto"/>
          <w:color w:val="auto"/>
        </w:rPr>
        <w:t>Voluntary Termination</w:t>
      </w:r>
      <w:r>
        <w:rPr>
          <w:rFonts w:ascii="Times New Roman" w:cs="Times New Roman" w:eastAsia="Times New Roman" w:hAnsi="Times New Roman"/>
          <w:sz w:val="20"/>
          <w:szCs w:val="20"/>
          <w:color w:val="auto"/>
        </w:rPr>
        <w:t>”). A voluntary resignation from employment by the Executive for Good Reason pursuant to Section 6(e)(i) shall not be deemed a Voluntary Termination.</w:t>
      </w:r>
    </w:p>
    <w:p>
      <w:pPr>
        <w:spacing w:after="0" w:line="154" w:lineRule="exact"/>
        <w:rPr>
          <w:rFonts w:ascii="Times New Roman" w:cs="Times New Roman" w:eastAsia="Times New Roman" w:hAnsi="Times New Roman"/>
          <w:sz w:val="20"/>
          <w:szCs w:val="20"/>
          <w:color w:val="auto"/>
        </w:rPr>
      </w:pPr>
    </w:p>
    <w:p>
      <w:pPr>
        <w:ind w:firstLine="1230"/>
        <w:spacing w:after="0" w:line="313" w:lineRule="auto"/>
        <w:tabs>
          <w:tab w:leader="none" w:pos="184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Non-Renewal Termination. </w:t>
      </w:r>
      <w:r>
        <w:rPr>
          <w:rFonts w:ascii="Times New Roman" w:cs="Times New Roman" w:eastAsia="Times New Roman" w:hAnsi="Times New Roman"/>
          <w:sz w:val="19"/>
          <w:szCs w:val="19"/>
          <w:color w:val="auto"/>
        </w:rPr>
        <w:t>If the Company does not provide the Executive an Extension Notice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1(c), this Agreement shall automatically expire at the end of the then current Term of Employment (a “</w:t>
      </w:r>
      <w:r>
        <w:rPr>
          <w:rFonts w:ascii="Times New Roman" w:cs="Times New Roman" w:eastAsia="Times New Roman" w:hAnsi="Times New Roman"/>
          <w:sz w:val="19"/>
          <w:szCs w:val="19"/>
          <w:u w:val="single" w:color="auto"/>
          <w:color w:val="auto"/>
        </w:rPr>
        <w:t>Non-Renewal Termination</w:t>
      </w:r>
      <w:r>
        <w:rPr>
          <w:rFonts w:ascii="Times New Roman" w:cs="Times New Roman" w:eastAsia="Times New Roman" w:hAnsi="Times New Roman"/>
          <w:sz w:val="19"/>
          <w:szCs w:val="19"/>
          <w:color w:val="auto"/>
        </w:rPr>
        <w:t>”).</w:t>
      </w:r>
    </w:p>
    <w:p>
      <w:pPr>
        <w:spacing w:after="0" w:line="108" w:lineRule="exact"/>
        <w:rPr>
          <w:rFonts w:ascii="Times New Roman" w:cs="Times New Roman" w:eastAsia="Times New Roman" w:hAnsi="Times New Roman"/>
          <w:sz w:val="19"/>
          <w:szCs w:val="19"/>
          <w:color w:val="auto"/>
        </w:rPr>
      </w:pPr>
    </w:p>
    <w:p>
      <w:pPr>
        <w:jc w:val="both"/>
        <w:ind w:firstLine="1230"/>
        <w:spacing w:after="0" w:line="250" w:lineRule="auto"/>
        <w:tabs>
          <w:tab w:leader="none" w:pos="18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Resignation from Board. </w:t>
      </w:r>
      <w:r>
        <w:rPr>
          <w:rFonts w:ascii="Times New Roman" w:cs="Times New Roman" w:eastAsia="Times New Roman" w:hAnsi="Times New Roman"/>
          <w:sz w:val="20"/>
          <w:szCs w:val="20"/>
          <w:color w:val="auto"/>
        </w:rPr>
        <w:t>Upon Termination of the Executive’s employment with the Company for any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regardless of whether such termination was initiated by the Company or the Executive, the Executive shall be deemed to have resigned, effective as of the date of such termination, from (i) the Board of Directors of the Company and (ii) any and all other positions the Executive may hold as an officer, director or member of any committee of the Board, and any positions or offices held with the Company or any subsidiary or affiliate thereof. The Executive agrees to promptly execute any documents reasonably requested by the Company to effectuate or confirm such resignations. If the Executive fails to execute any such documents, the Agreement shall constitute the Executive’s resignation from all such positions as of the date of termination.</w:t>
      </w:r>
    </w:p>
    <w:p>
      <w:pPr>
        <w:spacing w:after="0" w:line="177"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and Effective Date of Termination.</w:t>
      </w:r>
    </w:p>
    <w:p>
      <w:pPr>
        <w:spacing w:after="0" w:line="204"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termination of the Executive’s employment by the Company or by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(other than as a result of the death of the Executive, a Voluntary Termination described in Section 6(f), or a Non-Renewal Termination described in Section 6(g)) shall be communicated by written notice of termination to the other party hereto. Such notice shall indicate the specific termination provision in this Agreement relied upon and, except in the case of termination Without Cause described in Section 6(d), shall set forth in reasonable detail the facts and circumstances claimed to provide a basis for termination of the Executive’s employment under that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19" w:right="339" w:bottom="1440" w:gutter="0" w:footer="0" w:header="0"/>
        </w:sectPr>
      </w:pPr>
    </w:p>
    <w:bookmarkStart w:id="105" w:name="page106"/>
    <w:bookmarkEnd w:id="105"/>
    <w:p>
      <w:pPr>
        <w:ind w:left="1840" w:hanging="610"/>
        <w:spacing w:after="0"/>
        <w:tabs>
          <w:tab w:leader="none" w:pos="184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of Termination. </w:t>
      </w:r>
      <w:r>
        <w:rPr>
          <w:rFonts w:ascii="Times New Roman" w:cs="Times New Roman" w:eastAsia="Times New Roman" w:hAnsi="Times New Roman"/>
          <w:sz w:val="20"/>
          <w:szCs w:val="20"/>
          <w:color w:val="auto"/>
        </w:rPr>
        <w:t>The date of termination of the Executive’s employment shall be:</w:t>
      </w:r>
    </w:p>
    <w:p>
      <w:pPr>
        <w:spacing w:after="0" w:line="208" w:lineRule="exact"/>
        <w:rPr>
          <w:rFonts w:ascii="Times New Roman" w:cs="Times New Roman" w:eastAsia="Times New Roman" w:hAnsi="Times New Roman"/>
          <w:sz w:val="20"/>
          <w:szCs w:val="20"/>
          <w:color w:val="auto"/>
        </w:rPr>
      </w:pPr>
    </w:p>
    <w:p>
      <w:pPr>
        <w:ind w:left="2460" w:hanging="616"/>
        <w:spacing w:after="0"/>
        <w:tabs>
          <w:tab w:leader="none" w:pos="2460"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the Executive’s death, the date of the Executive’s death;</w:t>
      </w:r>
    </w:p>
    <w:p>
      <w:pPr>
        <w:spacing w:after="0" w:line="217" w:lineRule="exact"/>
        <w:rPr>
          <w:rFonts w:ascii="Times New Roman" w:cs="Times New Roman" w:eastAsia="Times New Roman" w:hAnsi="Times New Roman"/>
          <w:sz w:val="20"/>
          <w:szCs w:val="20"/>
          <w:color w:val="auto"/>
        </w:rPr>
      </w:pPr>
    </w:p>
    <w:p>
      <w:pPr>
        <w:jc w:val="both"/>
        <w:ind w:firstLine="1844"/>
        <w:spacing w:after="0" w:line="254" w:lineRule="auto"/>
        <w:tabs>
          <w:tab w:leader="none" w:pos="2452"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w:t>
      </w:r>
    </w:p>
    <w:p>
      <w:pPr>
        <w:spacing w:after="0" w:line="177" w:lineRule="exact"/>
        <w:rPr>
          <w:rFonts w:ascii="Times New Roman" w:cs="Times New Roman" w:eastAsia="Times New Roman" w:hAnsi="Times New Roman"/>
          <w:sz w:val="20"/>
          <w:szCs w:val="20"/>
          <w:color w:val="auto"/>
        </w:rPr>
      </w:pPr>
    </w:p>
    <w:p>
      <w:pPr>
        <w:jc w:val="both"/>
        <w:ind w:firstLine="1844"/>
        <w:spacing w:after="0" w:line="254" w:lineRule="auto"/>
        <w:tabs>
          <w:tab w:leader="none" w:pos="2456"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by the Executive as a Voluntary Termination, the effective date shall be the date mutually agreed to by the Company and the Executive or if the Executive’s employment is terminated for any other reason by either party (other than Voluntary Termination), the date on which a notice of termination is delivered to the other party or, in the event of the Company’s termination of the Executive, such date as the Company may specify in such notice; and</w:t>
      </w:r>
    </w:p>
    <w:p>
      <w:pPr>
        <w:spacing w:after="0" w:line="164" w:lineRule="exact"/>
        <w:rPr>
          <w:rFonts w:ascii="Times New Roman" w:cs="Times New Roman" w:eastAsia="Times New Roman" w:hAnsi="Times New Roman"/>
          <w:sz w:val="20"/>
          <w:szCs w:val="20"/>
          <w:color w:val="auto"/>
        </w:rPr>
      </w:pPr>
    </w:p>
    <w:p>
      <w:pPr>
        <w:ind w:firstLine="1844"/>
        <w:spacing w:after="0" w:line="281" w:lineRule="auto"/>
        <w:tabs>
          <w:tab w:leader="none" w:pos="2445"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Agreement expires pursuant to a Non-Renewal Termination described in Section 6(g), the parties’ employment relationship shall terminate on the last day of the then current Term of Employment without any notice.</w:t>
      </w:r>
    </w:p>
    <w:p>
      <w:pPr>
        <w:spacing w:after="0" w:line="135"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 Upon Termination.</w:t>
      </w:r>
    </w:p>
    <w:p>
      <w:pPr>
        <w:spacing w:after="0" w:line="204"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Due To Disability, Without Cause or For Good Reason. </w:t>
      </w:r>
      <w:r>
        <w:rPr>
          <w:rFonts w:ascii="Times New Roman" w:cs="Times New Roman" w:eastAsia="Times New Roman" w:hAnsi="Times New Roman"/>
          <w:sz w:val="20"/>
          <w:szCs w:val="20"/>
          <w:color w:val="auto"/>
        </w:rPr>
        <w:t>If the Executive’s employment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 provided that within sixty days following the Executive’s termination of employment (i) the Executive has executed and delivered to the Company a general release of claims against the Company and its subsidiaries, affiliates, stockholders, directors, officers, employees, agents, 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(ii) the Release has become irrevocable:</w:t>
      </w:r>
    </w:p>
    <w:p>
      <w:pPr>
        <w:spacing w:after="0" w:line="172" w:lineRule="exact"/>
        <w:rPr>
          <w:rFonts w:ascii="Times New Roman" w:cs="Times New Roman" w:eastAsia="Times New Roman" w:hAnsi="Times New Roman"/>
          <w:sz w:val="20"/>
          <w:szCs w:val="20"/>
          <w:color w:val="auto"/>
        </w:rPr>
      </w:pPr>
    </w:p>
    <w:p>
      <w:pPr>
        <w:jc w:val="both"/>
        <w:ind w:firstLine="1844"/>
        <w:spacing w:after="0" w:line="254" w:lineRule="auto"/>
        <w:tabs>
          <w:tab w:leader="none" w:pos="2449"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Commencing on the sixtieth day after the date of the Executive's termination of employment,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continue to pay to the Executive the 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15" w:right="339" w:bottom="1440" w:gutter="0" w:footer="0" w:header="0"/>
        </w:sectPr>
      </w:pPr>
    </w:p>
    <w:bookmarkStart w:id="106" w:name="page107"/>
    <w:bookmarkEnd w:id="106"/>
    <w:p>
      <w:pPr>
        <w:jc w:val="both"/>
        <w:ind w:firstLine="1844"/>
        <w:spacing w:after="0" w:line="269" w:lineRule="auto"/>
        <w:tabs>
          <w:tab w:leader="none" w:pos="2452"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Bonus. </w:t>
      </w:r>
      <w:r>
        <w:rPr>
          <w:rFonts w:ascii="Times New Roman" w:cs="Times New Roman" w:eastAsia="Times New Roman" w:hAnsi="Times New Roman"/>
          <w:sz w:val="19"/>
          <w:szCs w:val="19"/>
          <w:color w:val="auto"/>
        </w:rPr>
        <w:t>The Company shall continue to pay to the Executive an annual bonus through the remainder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of Employment then in effect; provided, however, that the amount of the annual bonus determined in accordance with this Section 8(a)</w:t>
      </w:r>
    </w:p>
    <w:p>
      <w:pPr>
        <w:spacing w:after="0" w:line="1" w:lineRule="exact"/>
        <w:rPr>
          <w:rFonts w:ascii="Times New Roman" w:cs="Times New Roman" w:eastAsia="Times New Roman" w:hAnsi="Times New Roman"/>
          <w:sz w:val="19"/>
          <w:szCs w:val="19"/>
          <w:color w:val="auto"/>
        </w:rPr>
      </w:pPr>
    </w:p>
    <w:p>
      <w:pPr>
        <w:jc w:val="both"/>
        <w:ind w:firstLine="2"/>
        <w:spacing w:after="0" w:line="246" w:lineRule="auto"/>
        <w:tabs>
          <w:tab w:leader="none" w:pos="29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fiscal year of the Company (“Fiscal Year”) in which such Term of Employment ends shall be prorated on the basis of the number of days of such Term of Employment occurring within such Fiscal Year. The amount of each annual bonus payable pursuant to this Section 8(a) (ii),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 shall be paid on the later of the date they would otherwise be paid in accordance with the applicable Company bonus plan or sixty days after the date of the Executive's termination of employment.</w:t>
      </w:r>
    </w:p>
    <w:p>
      <w:pPr>
        <w:spacing w:after="0" w:line="181" w:lineRule="exact"/>
        <w:rPr>
          <w:rFonts w:ascii="Times New Roman" w:cs="Times New Roman" w:eastAsia="Times New Roman" w:hAnsi="Times New Roman"/>
          <w:sz w:val="20"/>
          <w:szCs w:val="20"/>
          <w:color w:val="auto"/>
        </w:rPr>
      </w:pPr>
    </w:p>
    <w:p>
      <w:pPr>
        <w:jc w:val="both"/>
        <w:ind w:firstLine="1844"/>
        <w:spacing w:after="0" w:line="256" w:lineRule="auto"/>
        <w:tabs>
          <w:tab w:leader="none" w:pos="245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72"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4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according to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Executive’s termination of employment.</w:t>
      </w:r>
    </w:p>
    <w:p>
      <w:pPr>
        <w:spacing w:after="0" w:line="172" w:lineRule="exact"/>
        <w:rPr>
          <w:rFonts w:ascii="Times New Roman" w:cs="Times New Roman" w:eastAsia="Times New Roman" w:hAnsi="Times New Roman"/>
          <w:sz w:val="20"/>
          <w:szCs w:val="20"/>
          <w:color w:val="auto"/>
        </w:rPr>
      </w:pPr>
    </w:p>
    <w:p>
      <w:pPr>
        <w:jc w:val="both"/>
        <w:ind w:firstLine="1844"/>
        <w:spacing w:after="0" w:line="252" w:lineRule="auto"/>
        <w:tabs>
          <w:tab w:leader="none" w:pos="245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(as defined in the Executive's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of Performance Shares and Performance Share Agreement from the Company (collectively the "</w:t>
      </w:r>
      <w:r>
        <w:rPr>
          <w:rFonts w:ascii="Times New Roman" w:cs="Times New Roman" w:eastAsia="Times New Roman" w:hAnsi="Times New Roman"/>
          <w:sz w:val="20"/>
          <w:szCs w:val="20"/>
          <w:u w:val="single" w:color="auto"/>
          <w:color w:val="auto"/>
        </w:rPr>
        <w:t>Performance Share Agreement</w:t>
      </w:r>
      <w:r>
        <w:rPr>
          <w:rFonts w:ascii="Times New Roman" w:cs="Times New Roman" w:eastAsia="Times New Roman" w:hAnsi="Times New Roman"/>
          <w:sz w:val="20"/>
          <w:szCs w:val="20"/>
          <w:color w:val="auto"/>
        </w:rPr>
        <w:t>")) next following the Executive's date of termination of employment, the number of Performance Shares that shall become Vested Performance Shares (as defined in the Performance Share Agreement)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16" w:right="339" w:bottom="1440" w:gutter="0" w:footer="0" w:header="0"/>
        </w:sectPr>
      </w:pPr>
    </w:p>
    <w:bookmarkStart w:id="107" w:name="page108"/>
    <w:bookmarkEnd w:id="107"/>
    <w:p>
      <w:pPr>
        <w:jc w:val="both"/>
        <w:spacing w:after="0" w:line="250" w:lineRule="auto"/>
        <w:rPr>
          <w:sz w:val="20"/>
          <w:szCs w:val="20"/>
          <w:color w:val="auto"/>
        </w:rPr>
      </w:pPr>
      <w:r>
        <w:rPr>
          <w:rFonts w:ascii="Times New Roman" w:cs="Times New Roman" w:eastAsia="Times New Roman" w:hAnsi="Times New Roman"/>
          <w:sz w:val="20"/>
          <w:szCs w:val="20"/>
          <w:color w:val="auto"/>
        </w:rPr>
        <w:t>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80" w:lineRule="exact"/>
        <w:rPr>
          <w:sz w:val="20"/>
          <w:szCs w:val="20"/>
          <w:color w:val="auto"/>
        </w:rPr>
      </w:pPr>
    </w:p>
    <w:p>
      <w:pPr>
        <w:jc w:val="both"/>
        <w:ind w:firstLine="1844"/>
        <w:spacing w:after="0" w:line="255" w:lineRule="auto"/>
        <w:tabs>
          <w:tab w:leader="none" w:pos="24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160" w:lineRule="exact"/>
        <w:rPr>
          <w:rFonts w:ascii="Times New Roman" w:cs="Times New Roman" w:eastAsia="Times New Roman" w:hAnsi="Times New Roman"/>
          <w:sz w:val="20"/>
          <w:szCs w:val="20"/>
          <w:color w:val="auto"/>
        </w:rPr>
      </w:pPr>
    </w:p>
    <w:p>
      <w:pPr>
        <w:jc w:val="both"/>
        <w:ind w:firstLine="1844"/>
        <w:spacing w:after="0" w:line="247" w:lineRule="auto"/>
        <w:tabs>
          <w:tab w:leader="none" w:pos="244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 dental, vision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a dependent will end when the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the lesser of (A) 18 months after the termination of the Executive’s employment or (B) the remainder of the Term of Employment, and </w:t>
      </w:r>
      <w:r>
        <w:rPr>
          <w:rFonts w:ascii="Times New Roman" w:cs="Times New Roman" w:eastAsia="Times New Roman" w:hAnsi="Times New Roman"/>
          <w:sz w:val="20"/>
          <w:szCs w:val="20"/>
          <w:b w:val="1"/>
          <w:bCs w:val="1"/>
          <w:u w:val="single" w:color="auto"/>
          <w:color w:val="auto"/>
        </w:rPr>
        <w:t>provided further</w:t>
      </w:r>
      <w:r>
        <w:rPr>
          <w:rFonts w:ascii="Times New Roman" w:cs="Times New Roman" w:eastAsia="Times New Roman" w:hAnsi="Times New Roman"/>
          <w:sz w:val="20"/>
          <w:szCs w:val="20"/>
          <w:color w:val="auto"/>
        </w:rPr>
        <w:t xml:space="preserve"> that (1) any such health care coverage or reimbursement for health care coverage shall cease at such time that the Executive becomes eligible for health care coverage through another employer and (2) 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95" w:lineRule="exact"/>
        <w:rPr>
          <w:sz w:val="20"/>
          <w:szCs w:val="20"/>
          <w:color w:val="auto"/>
        </w:rPr>
      </w:pPr>
    </w:p>
    <w:p>
      <w:pPr>
        <w:ind w:firstLine="614"/>
        <w:spacing w:after="0" w:line="268" w:lineRule="auto"/>
        <w:rPr>
          <w:sz w:val="20"/>
          <w:szCs w:val="20"/>
          <w:color w:val="auto"/>
        </w:rPr>
      </w:pPr>
      <w:r>
        <w:rPr>
          <w:rFonts w:ascii="Times New Roman" w:cs="Times New Roman" w:eastAsia="Times New Roman" w:hAnsi="Times New Roman"/>
          <w:sz w:val="20"/>
          <w:szCs w:val="20"/>
          <w:color w:val="auto"/>
        </w:rPr>
        <w:t>The Company shall have no further obligations to the Executive as a result of termination of employment described in this Section 8(a) except as set forth in Section 13.</w:t>
      </w:r>
    </w:p>
    <w:p>
      <w:pPr>
        <w:spacing w:after="0" w:line="160" w:lineRule="exact"/>
        <w:rPr>
          <w:sz w:val="20"/>
          <w:szCs w:val="20"/>
          <w:color w:val="auto"/>
        </w:rPr>
      </w:pPr>
    </w:p>
    <w:p>
      <w:pPr>
        <w:jc w:val="both"/>
        <w:ind w:firstLine="1230"/>
        <w:spacing w:after="0" w:line="249" w:lineRule="auto"/>
        <w:tabs>
          <w:tab w:leader="none" w:pos="18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or Voluntary Termination. </w:t>
      </w:r>
      <w:r>
        <w:rPr>
          <w:rFonts w:ascii="Times New Roman" w:cs="Times New Roman" w:eastAsia="Times New Roman" w:hAnsi="Times New Roman"/>
          <w:sz w:val="20"/>
          <w:szCs w:val="20"/>
          <w:color w:val="auto"/>
        </w:rPr>
        <w:t>If the Executive’s employment terminates pursuant to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 terms, any restricted stock, performance share awards or other equity awards that were granted to the Executive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119" w:right="339" w:bottom="1440" w:gutter="0" w:footer="0" w:header="0"/>
        </w:sectPr>
      </w:pPr>
    </w:p>
    <w:bookmarkStart w:id="108" w:name="page109"/>
    <w:bookmarkEnd w:id="108"/>
    <w:p>
      <w:pPr>
        <w:jc w:val="both"/>
        <w:spacing w:after="0" w:line="260" w:lineRule="auto"/>
        <w:rPr>
          <w:sz w:val="20"/>
          <w:szCs w:val="20"/>
          <w:color w:val="auto"/>
        </w:rPr>
      </w:pPr>
      <w:r>
        <w:rPr>
          <w:rFonts w:ascii="Times New Roman" w:cs="Times New Roman" w:eastAsia="Times New Roman" w:hAnsi="Times New Roman"/>
          <w:sz w:val="20"/>
          <w:szCs w:val="20"/>
          <w:color w:val="auto"/>
        </w:rPr>
        <w:t>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157" w:lineRule="exact"/>
        <w:rPr>
          <w:sz w:val="20"/>
          <w:szCs w:val="20"/>
          <w:color w:val="auto"/>
        </w:rPr>
      </w:pPr>
    </w:p>
    <w:p>
      <w:pPr>
        <w:jc w:val="both"/>
        <w:ind w:firstLine="1230"/>
        <w:spacing w:after="0" w:line="262" w:lineRule="auto"/>
        <w:tabs>
          <w:tab w:leader="none" w:pos="1842"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Death. </w:t>
      </w:r>
      <w:r>
        <w:rPr>
          <w:rFonts w:ascii="Times New Roman" w:cs="Times New Roman" w:eastAsia="Times New Roman" w:hAnsi="Times New Roman"/>
          <w:sz w:val="19"/>
          <w:szCs w:val="19"/>
          <w:color w:val="auto"/>
        </w:rPr>
        <w:t>If the Executive’s employment terminates pursuant to Section 6(a) [Death], (i) the Executive’s designated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pro-rated for the number of days the Executive is employed during such fiscal year until the Executive’s death; (iii) any shares of restricted stock granted to the Executive by the Company at least 12 months prior to the Executive’s date of death that are unvested as of such date shall immediately become fully vested and any shares of restricted stock granted to the Executive by the Company within the 12-month period ending on the Executive’s date of death that are unvested as of such date shall automatically be forfeited and the Executive shall have no further rights with respect to such restricted stock; and (iv) the Company shall waive any reacquisition or repayment rights for dividends paid on restricted stock prior to the Executive’s death.</w:t>
      </w:r>
    </w:p>
    <w:p>
      <w:pPr>
        <w:spacing w:after="0" w:line="161" w:lineRule="exact"/>
        <w:rPr>
          <w:rFonts w:ascii="Times New Roman" w:cs="Times New Roman" w:eastAsia="Times New Roman" w:hAnsi="Times New Roman"/>
          <w:sz w:val="19"/>
          <w:szCs w:val="19"/>
          <w:color w:val="auto"/>
        </w:rPr>
      </w:pPr>
    </w:p>
    <w:p>
      <w:pPr>
        <w:jc w:val="both"/>
        <w:ind w:firstLine="1844"/>
        <w:spacing w:after="0" w:line="250" w:lineRule="auto"/>
        <w:tabs>
          <w:tab w:leader="none" w:pos="2449"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next following the Executive's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68"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2"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dies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Share Vesting Date, all Unvested Common Shares issued in settlement of the Performance Share Award shall become vested in full effective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120" w:right="339" w:bottom="1440" w:gutter="0" w:footer="0" w:header="0"/>
        </w:sectPr>
      </w:pPr>
    </w:p>
    <w:bookmarkStart w:id="109" w:name="page110"/>
    <w:bookmarkEnd w:id="109"/>
    <w:p>
      <w:pPr>
        <w:jc w:val="both"/>
        <w:ind w:firstLine="1230"/>
        <w:spacing w:after="0" w:line="252" w:lineRule="auto"/>
        <w:tabs>
          <w:tab w:leader="none" w:pos="18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Agreement expires as set forth in Section 6(g) [Non-Renewal Termination],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set forth in Sections 8(d)(i) through (v), provided that within sixty days following the Executive’s termination of employment (i) the Executive has executed and delivered the Release to the Company, and (ii) the Release has become irrevocable:</w:t>
      </w:r>
    </w:p>
    <w:p>
      <w:pPr>
        <w:spacing w:after="0" w:line="162"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4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Company shall pay the Executive an annual bonus for the fiscal year of the Company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in which the date of the Executive’s termination of employment occurs, which shall be prorated for the number of days of such Fiscal Year that the Executive is employed by the Company. The amount of such annual bonus, prior to proration, shall be equal to the annual bonus that the Executive would have earned under the Company’s bonus plan for the Fiscal Year in which the Executive’s termination of employment occurs had the Executive remained in its employment, contingent on the relevant annual bonus plan performance goals for the year in which Executive terminates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 shall be paid on the later of the date they would otherwise be paid in accordance with the applicable Company bonus plan or sixty days after the date of the Executive's termination of employment.</w:t>
      </w:r>
    </w:p>
    <w:p>
      <w:pPr>
        <w:spacing w:after="0" w:line="172"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54" w:lineRule="exact"/>
        <w:rPr>
          <w:rFonts w:ascii="Times New Roman" w:cs="Times New Roman" w:eastAsia="Times New Roman" w:hAnsi="Times New Roman"/>
          <w:sz w:val="20"/>
          <w:szCs w:val="20"/>
          <w:color w:val="auto"/>
        </w:rPr>
      </w:pPr>
    </w:p>
    <w:p>
      <w:pPr>
        <w:jc w:val="both"/>
        <w:ind w:firstLine="1844"/>
        <w:spacing w:after="0" w:line="248" w:lineRule="auto"/>
        <w:tabs>
          <w:tab w:leader="none" w:pos="2456"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which have not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365-day year). The pro rata amount of shares vesting through the date of non-renewal shall be calculated by multiplying the number of unvested shares scheduled to vest in each respective vesting year by the ratio of the number of days from the date of grant through the date of non-renewal,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115" w:right="339" w:bottom="1440" w:gutter="0" w:footer="0" w:header="0"/>
        </w:sectPr>
      </w:pPr>
    </w:p>
    <w:bookmarkStart w:id="110" w:name="page111"/>
    <w:bookmarkEnd w:id="110"/>
    <w:p>
      <w:pPr>
        <w:jc w:val="both"/>
        <w:ind w:firstLine="1844"/>
        <w:spacing w:after="0" w:line="249" w:lineRule="auto"/>
        <w:tabs>
          <w:tab w:leader="none" w:pos="2445"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on or next following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of employment,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67"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pursuant to Section 6(g) after the Performance Share Vesting Date, all Unvested Common Shares issued in settlement of the Performance Share Award shall become vested in full effective as of the date of such termination.</w:t>
      </w:r>
    </w:p>
    <w:p>
      <w:pPr>
        <w:spacing w:after="0" w:line="154" w:lineRule="exact"/>
        <w:rPr>
          <w:rFonts w:ascii="Times New Roman" w:cs="Times New Roman" w:eastAsia="Times New Roman" w:hAnsi="Times New Roman"/>
          <w:sz w:val="20"/>
          <w:szCs w:val="20"/>
          <w:color w:val="auto"/>
        </w:rPr>
      </w:pPr>
    </w:p>
    <w:p>
      <w:pPr>
        <w:ind w:left="1840" w:hanging="610"/>
        <w:spacing w:after="0"/>
        <w:tabs>
          <w:tab w:leader="none" w:pos="18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Change in Control Provisions.</w:t>
      </w:r>
    </w:p>
    <w:p>
      <w:pPr>
        <w:spacing w:after="0" w:line="217" w:lineRule="exact"/>
        <w:rPr>
          <w:rFonts w:ascii="Times New Roman" w:cs="Times New Roman" w:eastAsia="Times New Roman" w:hAnsi="Times New Roman"/>
          <w:sz w:val="20"/>
          <w:szCs w:val="20"/>
          <w:color w:val="auto"/>
        </w:rPr>
      </w:pPr>
    </w:p>
    <w:p>
      <w:pPr>
        <w:jc w:val="both"/>
        <w:ind w:firstLine="1844"/>
        <w:spacing w:after="0" w:line="250" w:lineRule="auto"/>
        <w:tabs>
          <w:tab w:leader="none" w:pos="2449"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of Employment in Connection with a Change in Control. </w:t>
      </w:r>
      <w:r>
        <w:rPr>
          <w:rFonts w:ascii="Times New Roman" w:cs="Times New Roman" w:eastAsia="Times New Roman" w:hAnsi="Times New Roman"/>
          <w:sz w:val="20"/>
          <w:szCs w:val="20"/>
          <w:color w:val="auto"/>
        </w:rPr>
        <w:t>If the Executive’s employment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either by the Company Without Cause (as defined in Section 6(d)) or by the Executive for Good Reason (as defined in Section 6(e) (ii)), in either case within the period commencing one month prior to and ending twelve months following a Change in Control, then, subject to Section 22 [Compliance with Section 409A], the Executive shall be entitled to the compensation and benefits set forth in Sections 8(e)(i)(a) through (e) (in addition to any other payments or benefits provided under this Agreement), provided that within sixty days following the Executive’s termination of employment (i) the Executive has executed and delivered the Release to the Company, and (ii) the Release has become irrevocable:</w:t>
      </w:r>
    </w:p>
    <w:p>
      <w:pPr>
        <w:spacing w:after="0" w:line="177" w:lineRule="exact"/>
        <w:rPr>
          <w:rFonts w:ascii="Times New Roman" w:cs="Times New Roman" w:eastAsia="Times New Roman" w:hAnsi="Times New Roman"/>
          <w:sz w:val="20"/>
          <w:szCs w:val="20"/>
          <w:color w:val="auto"/>
        </w:rPr>
      </w:pPr>
    </w:p>
    <w:p>
      <w:pPr>
        <w:jc w:val="both"/>
        <w:ind w:firstLine="3072"/>
        <w:spacing w:after="0" w:line="255" w:lineRule="auto"/>
        <w:tabs>
          <w:tab w:leader="none" w:pos="3679"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then-current annual base salary, which shall be paid to the Executive sixty days following such termination of employment. The payment under this Section 8(e)(i)(a) shall take the place of any payment under Section 8(a)(i) and the Executive shall not be entitled to receive a payment under Section 8(a)(i) if the Executive is entitled to a payment under this Section 8(e)(i)(a).</w:t>
      </w:r>
    </w:p>
    <w:p>
      <w:pPr>
        <w:spacing w:after="0" w:line="160" w:lineRule="exact"/>
        <w:rPr>
          <w:rFonts w:ascii="Times New Roman" w:cs="Times New Roman" w:eastAsia="Times New Roman" w:hAnsi="Times New Roman"/>
          <w:sz w:val="20"/>
          <w:szCs w:val="20"/>
          <w:color w:val="auto"/>
        </w:rPr>
      </w:pPr>
    </w:p>
    <w:p>
      <w:pPr>
        <w:jc w:val="both"/>
        <w:ind w:firstLine="3072"/>
        <w:spacing w:after="0" w:line="254" w:lineRule="auto"/>
        <w:tabs>
          <w:tab w:leader="none" w:pos="3677"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annual bonus for the Company’s fiscal year then in effect on the date termination of employment occurs, which shall be paid to the Executive sixty days following such termination of employment. The payment under this Section 8(e)(i)(b) shall take the place of any payment under Section 8(a)(ii) and the Executive shall not be entitled to receive a payment under Section 8(a)(ii) if the Executive is entitled to a payment under this Section 8(e)(i)(b).</w:t>
      </w:r>
    </w:p>
    <w:p>
      <w:pPr>
        <w:spacing w:after="0" w:line="164" w:lineRule="exact"/>
        <w:rPr>
          <w:rFonts w:ascii="Times New Roman" w:cs="Times New Roman" w:eastAsia="Times New Roman" w:hAnsi="Times New Roman"/>
          <w:sz w:val="20"/>
          <w:szCs w:val="20"/>
          <w:color w:val="auto"/>
        </w:rPr>
      </w:pPr>
    </w:p>
    <w:p>
      <w:pPr>
        <w:jc w:val="both"/>
        <w:ind w:firstLine="3072"/>
        <w:spacing w:after="0" w:line="262" w:lineRule="auto"/>
        <w:tabs>
          <w:tab w:leader="none" w:pos="3679"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w:t>
      </w:r>
      <w:r>
        <w:rPr>
          <w:rFonts w:ascii="Times New Roman" w:cs="Times New Roman" w:eastAsia="Times New Roman" w:hAnsi="Times New Roman"/>
          <w:sz w:val="20"/>
          <w:szCs w:val="20"/>
          <w:color w:val="auto"/>
        </w:rPr>
        <w:t>All shares of restricted stock granted to the Executive by the Company shall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in full upon the termination. Additionally, if the termination occurs prior to the Performance Share Vesting Date, 100% of the Target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115" w:right="339" w:bottom="1440" w:gutter="0" w:footer="0" w:header="0"/>
        </w:sectPr>
      </w:pPr>
    </w:p>
    <w:bookmarkStart w:id="111" w:name="page112"/>
    <w:bookmarkEnd w:id="111"/>
    <w:p>
      <w:pPr>
        <w:jc w:val="both"/>
        <w:spacing w:after="0" w:line="271" w:lineRule="auto"/>
        <w:rPr>
          <w:sz w:val="20"/>
          <w:szCs w:val="20"/>
          <w:color w:val="auto"/>
        </w:rPr>
      </w:pPr>
      <w:r>
        <w:rPr>
          <w:rFonts w:ascii="Times New Roman" w:cs="Times New Roman" w:eastAsia="Times New Roman" w:hAnsi="Times New Roman"/>
          <w:sz w:val="19"/>
          <w:szCs w:val="19"/>
          <w:color w:val="auto"/>
        </w:rPr>
        <w:t>Performance Shares shall be deemed Vested Performance Shares effective as of the date of the termination. All Unvested Common Shares issued in settlement of the Performance Share Award shall become vested effective as of the date of such termination. Except as set forth in this Section 8(e),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148" w:lineRule="exact"/>
        <w:rPr>
          <w:sz w:val="20"/>
          <w:szCs w:val="20"/>
          <w:color w:val="auto"/>
        </w:rPr>
      </w:pPr>
    </w:p>
    <w:p>
      <w:pPr>
        <w:jc w:val="both"/>
        <w:ind w:firstLine="3072"/>
        <w:spacing w:after="0" w:line="262" w:lineRule="auto"/>
        <w:tabs>
          <w:tab w:leader="none" w:pos="3677"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Estate Planning. </w:t>
      </w:r>
      <w:r>
        <w:rPr>
          <w:rFonts w:ascii="Times New Roman" w:cs="Times New Roman" w:eastAsia="Times New Roman" w:hAnsi="Times New Roman"/>
          <w:sz w:val="20"/>
          <w:szCs w:val="20"/>
          <w:color w:val="auto"/>
        </w:rPr>
        <w:t>The Executive shall be entitled to reimbursement of the Executive’s 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54" w:lineRule="exact"/>
        <w:rPr>
          <w:rFonts w:ascii="Times New Roman" w:cs="Times New Roman" w:eastAsia="Times New Roman" w:hAnsi="Times New Roman"/>
          <w:sz w:val="20"/>
          <w:szCs w:val="20"/>
          <w:color w:val="auto"/>
        </w:rPr>
      </w:pPr>
    </w:p>
    <w:p>
      <w:pPr>
        <w:jc w:val="both"/>
        <w:ind w:firstLine="3072"/>
        <w:spacing w:after="0" w:line="248" w:lineRule="auto"/>
        <w:tabs>
          <w:tab w:leader="none" w:pos="3679"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18 months after the termination of the Executive’s employment; and </w:t>
      </w:r>
      <w:r>
        <w:rPr>
          <w:rFonts w:ascii="Times New Roman" w:cs="Times New Roman" w:eastAsia="Times New Roman" w:hAnsi="Times New Roman"/>
          <w:sz w:val="20"/>
          <w:szCs w:val="20"/>
          <w:b w:val="1"/>
          <w:bCs w:val="1"/>
          <w:u w:val="single" w:color="auto"/>
          <w:color w:val="auto"/>
        </w:rPr>
        <w:t>provided further</w:t>
      </w:r>
      <w:r>
        <w:rPr>
          <w:rFonts w:ascii="Times New Roman" w:cs="Times New Roman" w:eastAsia="Times New Roman" w:hAnsi="Times New Roman"/>
          <w:sz w:val="20"/>
          <w:szCs w:val="20"/>
          <w:color w:val="auto"/>
        </w:rPr>
        <w:t xml:space="preserve"> that (1) any such health care coverage or reimbursement for health care coverage shall cease at such time that the Executive becomes eligible for health care coverage 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77" w:lineRule="exact"/>
        <w:rPr>
          <w:rFonts w:ascii="Times New Roman" w:cs="Times New Roman" w:eastAsia="Times New Roman" w:hAnsi="Times New Roman"/>
          <w:sz w:val="20"/>
          <w:szCs w:val="20"/>
          <w:color w:val="auto"/>
        </w:rPr>
      </w:pPr>
    </w:p>
    <w:p>
      <w:pPr>
        <w:ind w:left="2460" w:hanging="616"/>
        <w:spacing w:after="0"/>
        <w:tabs>
          <w:tab w:leader="none" w:pos="24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Defined.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one or more of the following</w:t>
      </w:r>
    </w:p>
    <w:p>
      <w:pPr>
        <w:spacing w:after="0" w:line="2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Company:</w:t>
      </w:r>
    </w:p>
    <w:p>
      <w:pPr>
        <w:spacing w:after="0" w:line="195" w:lineRule="exact"/>
        <w:rPr>
          <w:rFonts w:ascii="Times New Roman" w:cs="Times New Roman" w:eastAsia="Times New Roman" w:hAnsi="Times New Roman"/>
          <w:sz w:val="20"/>
          <w:szCs w:val="20"/>
          <w:color w:val="auto"/>
        </w:rPr>
      </w:pPr>
    </w:p>
    <w:p>
      <w:pPr>
        <w:jc w:val="both"/>
        <w:ind w:firstLine="2458"/>
        <w:spacing w:after="0" w:line="247" w:lineRule="auto"/>
        <w:tabs>
          <w:tab w:leader="none" w:pos="3068"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Securities Exchange Act of 1934, as amended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 connection with a public offering of securities; (C) any acquisition by the Company; (D) any acquisition by a trustee or other fiduciary under an employee benefit plan of the Company; or (E) any acquisition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120" w:right="339" w:bottom="1440" w:gutter="0" w:footer="0" w:header="0"/>
        </w:sectPr>
      </w:pPr>
    </w:p>
    <w:bookmarkStart w:id="112" w:name="page113"/>
    <w:bookmarkEnd w:id="112"/>
    <w:p>
      <w:pPr>
        <w:spacing w:after="0" w:line="268" w:lineRule="auto"/>
        <w:rPr>
          <w:sz w:val="20"/>
          <w:szCs w:val="20"/>
          <w:color w:val="auto"/>
        </w:rPr>
      </w:pPr>
      <w:r>
        <w:rPr>
          <w:rFonts w:ascii="Times New Roman" w:cs="Times New Roman" w:eastAsia="Times New Roman" w:hAnsi="Times New Roman"/>
          <w:sz w:val="20"/>
          <w:szCs w:val="20"/>
          <w:color w:val="auto"/>
        </w:rPr>
        <w:t>an entity owned directly or indirectly by the stockholders of the Company in substantially the same proportions as their ownership of the voting securities of the Company; or</w:t>
      </w:r>
    </w:p>
    <w:p>
      <w:pPr>
        <w:spacing w:after="0" w:line="164" w:lineRule="exact"/>
        <w:rPr>
          <w:sz w:val="20"/>
          <w:szCs w:val="20"/>
          <w:color w:val="auto"/>
        </w:rPr>
      </w:pPr>
    </w:p>
    <w:p>
      <w:pPr>
        <w:ind w:left="3080" w:hanging="622"/>
        <w:spacing w:after="0"/>
        <w:tabs>
          <w:tab w:leader="none" w:pos="308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following events (“</w:t>
      </w:r>
      <w:r>
        <w:rPr>
          <w:rFonts w:ascii="Times New Roman" w:cs="Times New Roman" w:eastAsia="Times New Roman" w:hAnsi="Times New Roman"/>
          <w:sz w:val="19"/>
          <w:szCs w:val="19"/>
          <w:u w:val="single" w:color="auto"/>
          <w:color w:val="auto"/>
        </w:rPr>
        <w:t>Ownership Change Event</w:t>
      </w:r>
      <w:r>
        <w:rPr>
          <w:rFonts w:ascii="Times New Roman" w:cs="Times New Roman" w:eastAsia="Times New Roman" w:hAnsi="Times New Roman"/>
          <w:sz w:val="19"/>
          <w:szCs w:val="19"/>
          <w:color w:val="auto"/>
        </w:rPr>
        <w:t>”) or series of related Ownership Change Events</w:t>
      </w:r>
    </w:p>
    <w:p>
      <w:pPr>
        <w:spacing w:after="0" w:line="33" w:lineRule="exact"/>
        <w:rPr>
          <w:rFonts w:ascii="Times New Roman" w:cs="Times New Roman" w:eastAsia="Times New Roman" w:hAnsi="Times New Roman"/>
          <w:sz w:val="19"/>
          <w:szCs w:val="19"/>
          <w:color w:val="auto"/>
        </w:rPr>
      </w:pPr>
    </w:p>
    <w:p>
      <w:pPr>
        <w:jc w:val="both"/>
        <w:spacing w:after="0" w:line="24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(collectively, a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 (B) 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the case may be; or</w:t>
      </w:r>
    </w:p>
    <w:p>
      <w:pPr>
        <w:spacing w:after="0" w:line="180" w:lineRule="exact"/>
        <w:rPr>
          <w:rFonts w:ascii="Times New Roman" w:cs="Times New Roman" w:eastAsia="Times New Roman" w:hAnsi="Times New Roman"/>
          <w:sz w:val="19"/>
          <w:szCs w:val="19"/>
          <w:color w:val="auto"/>
        </w:rPr>
      </w:pPr>
    </w:p>
    <w:p>
      <w:pPr>
        <w:jc w:val="both"/>
        <w:ind w:firstLine="2458"/>
        <w:spacing w:after="0" w:line="251" w:lineRule="auto"/>
        <w:tabs>
          <w:tab w:leader="none" w:pos="306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 (3) are related and to be treated in the aggregate as a single Change in Control, and its determination shall be final, binding and conclusive.</w:t>
      </w:r>
    </w:p>
    <w:p>
      <w:pPr>
        <w:spacing w:after="0" w:line="177" w:lineRule="exact"/>
        <w:rPr>
          <w:rFonts w:ascii="Times New Roman" w:cs="Times New Roman" w:eastAsia="Times New Roman" w:hAnsi="Times New Roman"/>
          <w:sz w:val="20"/>
          <w:szCs w:val="20"/>
          <w:color w:val="auto"/>
        </w:rPr>
      </w:pPr>
    </w:p>
    <w:p>
      <w:pPr>
        <w:jc w:val="both"/>
        <w:ind w:firstLine="1844"/>
        <w:spacing w:after="0" w:line="247" w:lineRule="auto"/>
        <w:tabs>
          <w:tab w:leader="none" w:pos="245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Excise Tax - Best After-Tax Result. </w:t>
      </w:r>
      <w:r>
        <w:rPr>
          <w:rFonts w:ascii="Times New Roman" w:cs="Times New Roman" w:eastAsia="Times New Roman" w:hAnsi="Times New Roman"/>
          <w:sz w:val="20"/>
          <w:szCs w:val="20"/>
          <w:color w:val="auto"/>
        </w:rPr>
        <w:t>In the event that any payment or benefit received or to be received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pursuant to this Agreement or otherwise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subject to the provisions of Section 8(e)(iv), such Payments shall be either (1) provided in full pursuant to the terms of this Agreement or any other applicable agreement, or (2) provided as to such lesser extent which would result in no portion of such Payments being subject to the Excise Tax (“</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whichever of the foregoing amounts, taking into account the applicable federal, state, local and foreign income, employment and other taxes and the Excise Tax (including, without limitation, any interest or penalties on such taxes), results in the receipt by the Executive, on an after-tax basis, of the greatest amount of payments and benefits provided for hereunder or otherwise, notwithstanding that all or some portion of such Payments may be subject to the Excise Tax. If the Executive’s payments or benefits are delivered to a lesser extent in accordance with this clause (2) above, then the Executive’s aggregate benefits shall be reduced in the following order: (i) cash severance pay that is exempt from Section 409A; (ii) any other cash severance pay; (iii) reimbursement payments under Section 4(c), above; (iv) any restricted stock; (v) any equity awards other than restricted stock and stock options; and (vi) stock options. Unless the Company and the Executive otherwise agree in writing, any determination required under this Section shall be made by an independent advisor designated by the Company and reasonably acceptable to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120" w:right="339" w:bottom="1440" w:gutter="0" w:footer="0" w:header="0"/>
        </w:sectPr>
      </w:pPr>
    </w:p>
    <w:bookmarkStart w:id="113" w:name="page114"/>
    <w:bookmarkEnd w:id="113"/>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Advisor</w:t>
      </w:r>
      <w:r>
        <w:rPr>
          <w:rFonts w:ascii="Times New Roman" w:cs="Times New Roman" w:eastAsia="Times New Roman" w:hAnsi="Times New Roman"/>
          <w:sz w:val="20"/>
          <w:szCs w:val="20"/>
          <w:color w:val="auto"/>
        </w:rPr>
        <w:t>”), whose determination shall be conclusive and binding upon the Executive and the Company for all purposes. For purposes of making the calculations required under this Section, Independent Advisor may make reasonable assumptions and approximations concerning applicable taxes and may rely on reasonable, good faith interpretations concerning the application of Sections 280G and 4999 of the Code; provided that Independent Advisor shall assume that the Executive pays all taxes at the highest marginal rate. The Company and the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8(e)(iii) applies, then based on the information provided to the Executive and the Company by Independent Advisor, the Executive may, in the Executive’s sole discretion and within thirty days of the date on which the Executive is provided with the information prepared by Independent Advisor, determine which and how much of the Payments (including the accelerated vesting of equity compensation awards) to be otherwise received by the Executive shall be eliminated or reduced (as long as after such determination the value (as calculated by Independent Advisor in accordance with the provisions of Sections 280G and 4999 of the Code) of the amounts payable or distributable to the Executive equals the Reduced Amount). If the Internal Revenue Service (the “</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determines that any Payment is subject to the Excise Tax, then Section 8(e)(iv) hereof shall apply, and the enforcement of Section 8(e)(iv) shall be the exclusive remedy to the Company.</w:t>
      </w:r>
    </w:p>
    <w:p>
      <w:pPr>
        <w:spacing w:after="0" w:line="174" w:lineRule="exact"/>
        <w:rPr>
          <w:sz w:val="20"/>
          <w:szCs w:val="20"/>
          <w:color w:val="auto"/>
        </w:rPr>
      </w:pPr>
    </w:p>
    <w:p>
      <w:pPr>
        <w:jc w:val="both"/>
        <w:ind w:firstLine="1844"/>
        <w:spacing w:after="0" w:line="263" w:lineRule="auto"/>
        <w:tabs>
          <w:tab w:leader="none" w:pos="2445"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Adjustments. </w:t>
      </w:r>
      <w:r>
        <w:rPr>
          <w:rFonts w:ascii="Times New Roman" w:cs="Times New Roman" w:eastAsia="Times New Roman" w:hAnsi="Times New Roman"/>
          <w:sz w:val="19"/>
          <w:szCs w:val="19"/>
          <w:color w:val="auto"/>
        </w:rPr>
        <w:t>If, notwithstanding any reduction described in Section 8(e)(iii) (or in the absence of any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reduction), the IRS determines that the Executive is liable for the Excise Tax as a result of the receipt of one or more Payments, then the Executive shall be obligated to surrender or pay back to the Company, within 120 days after a final IRS determination, an amount of such payments or benefits equal to the “</w:t>
      </w:r>
      <w:r>
        <w:rPr>
          <w:rFonts w:ascii="Times New Roman" w:cs="Times New Roman" w:eastAsia="Times New Roman" w:hAnsi="Times New Roman"/>
          <w:sz w:val="19"/>
          <w:szCs w:val="19"/>
          <w:u w:val="single" w:color="auto"/>
          <w:color w:val="auto"/>
        </w:rPr>
        <w:t>Repayment Amount</w:t>
      </w:r>
      <w:r>
        <w:rPr>
          <w:rFonts w:ascii="Times New Roman" w:cs="Times New Roman" w:eastAsia="Times New Roman" w:hAnsi="Times New Roman"/>
          <w:sz w:val="19"/>
          <w:szCs w:val="19"/>
          <w:color w:val="auto"/>
        </w:rPr>
        <w:t>.” The Repayment Amount with respect to such Payments shall be the smallest such amount, if any, as shall be required to be surrendered or paid to the Company so that the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the Executive from the Payments. If the Excise Tax is not eliminated pursuant to this Section, the Executive shall pay the Excise Tax.</w:t>
      </w:r>
    </w:p>
    <w:p>
      <w:pPr>
        <w:spacing w:after="0" w:line="173" w:lineRule="exact"/>
        <w:rPr>
          <w:rFonts w:ascii="Times New Roman" w:cs="Times New Roman" w:eastAsia="Times New Roman" w:hAnsi="Times New Roman"/>
          <w:sz w:val="19"/>
          <w:szCs w:val="19"/>
          <w:color w:val="auto"/>
        </w:rPr>
      </w:pPr>
    </w:p>
    <w:p>
      <w:pPr>
        <w:jc w:val="both"/>
        <w:ind w:firstLine="1844"/>
        <w:spacing w:after="0" w:line="263" w:lineRule="auto"/>
        <w:tabs>
          <w:tab w:leader="none" w:pos="245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Acquirer Does Not Assume Performance Share Award. </w:t>
      </w:r>
      <w:r>
        <w:rPr>
          <w:rFonts w:ascii="Times New Roman" w:cs="Times New Roman" w:eastAsia="Times New Roman" w:hAnsi="Times New Roman"/>
          <w:sz w:val="19"/>
          <w:szCs w:val="19"/>
          <w:color w:val="auto"/>
        </w:rPr>
        <w:t>In the event of a Change in Control, the surviving,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continuing, successor, or purchasing corporation or other business entity or parent thereof, as the case may be (the “</w:t>
      </w:r>
      <w:r>
        <w:rPr>
          <w:rFonts w:ascii="Times New Roman" w:cs="Times New Roman" w:eastAsia="Times New Roman" w:hAnsi="Times New Roman"/>
          <w:sz w:val="19"/>
          <w:szCs w:val="19"/>
          <w:u w:val="single" w:color="auto"/>
          <w:color w:val="auto"/>
        </w:rPr>
        <w:t>Acquirer</w:t>
      </w:r>
      <w:r>
        <w:rPr>
          <w:rFonts w:ascii="Times New Roman" w:cs="Times New Roman" w:eastAsia="Times New Roman" w:hAnsi="Times New Roman"/>
          <w:sz w:val="19"/>
          <w:szCs w:val="19"/>
          <w:color w:val="auto"/>
        </w:rPr>
        <w:t>”),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 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Performance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120"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a Change in Control prior to the Performance Share Vesting Date, (i) the Target Number of Performance Shares shall become fully vested and such Performance Shares shall be deemed Vested Performance Shares and one Vested Common Share shall be issued to the Executive for each such Vested Performance Share immediately prior to the Change in Control and (ii) 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spacing w:after="0" w:line="168" w:lineRule="exact"/>
        <w:rPr>
          <w:sz w:val="20"/>
          <w:szCs w:val="20"/>
          <w:color w:val="auto"/>
        </w:rPr>
      </w:pPr>
    </w:p>
    <w:p>
      <w:pPr>
        <w:jc w:val="both"/>
        <w:ind w:firstLine="1844"/>
        <w:spacing w:after="0" w:line="248" w:lineRule="auto"/>
        <w:tabs>
          <w:tab w:leader="none" w:pos="2445"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Restricted Stock Award. </w:t>
      </w:r>
      <w:r>
        <w:rPr>
          <w:rFonts w:ascii="Times New Roman" w:cs="Times New Roman" w:eastAsia="Times New Roman" w:hAnsi="Times New Roman"/>
          <w:sz w:val="20"/>
          <w:szCs w:val="20"/>
          <w:color w:val="auto"/>
        </w:rPr>
        <w:t>In the event of a Change in Control, the Acquirer,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187" w:lineRule="exact"/>
        <w:rPr>
          <w:rFonts w:ascii="Times New Roman" w:cs="Times New Roman" w:eastAsia="Times New Roman" w:hAnsi="Times New Roman"/>
          <w:sz w:val="20"/>
          <w:szCs w:val="20"/>
          <w:color w:val="auto"/>
        </w:rPr>
      </w:pPr>
    </w:p>
    <w:p>
      <w:pPr>
        <w:ind w:left="1220" w:hanging="604"/>
        <w:spacing w:after="0"/>
        <w:tabs>
          <w:tab w:leader="none" w:pos="12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Employment Obligations.</w:t>
      </w:r>
    </w:p>
    <w:p>
      <w:pPr>
        <w:spacing w:after="0" w:line="204" w:lineRule="exact"/>
        <w:rPr>
          <w:rFonts w:ascii="Times New Roman" w:cs="Times New Roman" w:eastAsia="Times New Roman" w:hAnsi="Times New Roman"/>
          <w:sz w:val="20"/>
          <w:szCs w:val="20"/>
          <w:color w:val="auto"/>
        </w:rPr>
      </w:pPr>
    </w:p>
    <w:p>
      <w:pPr>
        <w:jc w:val="both"/>
        <w:ind w:firstLine="1230"/>
        <w:spacing w:after="0" w:line="249" w:lineRule="auto"/>
        <w:tabs>
          <w:tab w:leader="none" w:pos="1842"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Acknowledgement. </w:t>
      </w:r>
      <w:r>
        <w:rPr>
          <w:rFonts w:ascii="Times New Roman" w:cs="Times New Roman" w:eastAsia="Times New Roman" w:hAnsi="Times New Roman"/>
          <w:sz w:val="20"/>
          <w:szCs w:val="20"/>
          <w:color w:val="auto"/>
        </w:rPr>
        <w:t>The Company and the Executive acknowledge that (i) the Company has a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 and constitutes valuable proprietary assets of the Company, and the Company will suffer substantial damage and irreparable harm which will be difficult to compute if, during the term of the Executive’s employment or thereafter, the Executive should disclose or improperly use such Confidential Information in violation of the provisions of this Agreement; (iv) the Company will suffer substantial damage which will be difficult to compute if, the Executive solicits or interferes with the Company’s employees; (v) the provisions of this Agreement are reasonable and necessary for the protection of the business of the Company; and (vi) the provisions of this Agreement will not preclude the Executive from obtaining other gainful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119" w:right="339" w:bottom="1440" w:gutter="0" w:footer="0" w:header="0"/>
        </w:sectPr>
      </w:pPr>
    </w:p>
    <w:bookmarkStart w:id="115" w:name="page116"/>
    <w:bookmarkEnd w:id="115"/>
    <w:p>
      <w:pPr>
        <w:jc w:val="both"/>
        <w:ind w:firstLine="1230"/>
        <w:spacing w:after="0" w:line="263" w:lineRule="auto"/>
        <w:tabs>
          <w:tab w:leader="none" w:pos="18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Non-Solicitation of Employees. </w:t>
      </w:r>
      <w:r>
        <w:rPr>
          <w:rFonts w:ascii="Times New Roman" w:cs="Times New Roman" w:eastAsia="Times New Roman" w:hAnsi="Times New Roman"/>
          <w:sz w:val="19"/>
          <w:szCs w:val="19"/>
          <w:color w:val="auto"/>
        </w:rPr>
        <w:t>During the period of the Executive’s employment with the Company and for a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 induce the termination of employment of any person who is employed by the Company or (ii) encourage any such person not to devote such person’s full business time to the Company.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54" w:lineRule="exact"/>
        <w:rPr>
          <w:rFonts w:ascii="Times New Roman" w:cs="Times New Roman" w:eastAsia="Times New Roman" w:hAnsi="Times New Roman"/>
          <w:sz w:val="19"/>
          <w:szCs w:val="19"/>
          <w:color w:val="auto"/>
        </w:rPr>
      </w:pPr>
    </w:p>
    <w:p>
      <w:pPr>
        <w:jc w:val="both"/>
        <w:ind w:firstLine="1230"/>
        <w:spacing w:after="0" w:line="264" w:lineRule="auto"/>
        <w:tabs>
          <w:tab w:leader="none" w:pos="1842"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Non-Solicitation of Third Parties. </w:t>
      </w:r>
      <w:r>
        <w:rPr>
          <w:rFonts w:ascii="Times New Roman" w:cs="Times New Roman" w:eastAsia="Times New Roman" w:hAnsi="Times New Roman"/>
          <w:sz w:val="19"/>
          <w:szCs w:val="19"/>
          <w:color w:val="auto"/>
        </w:rPr>
        <w:t>During the period of the Executive’s employment with the Company and for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of 24 months following the Executive’s termination of employment with the Company, the Executive shall not in any way use any of the Company’s trade secrets to directly or indirectly solicit or otherwise influence any entity with a business arrangement with the Company, with whom the Executive had contact during the Executive’s employment with the Company, including, without limitation, suppliers, sales 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54" w:lineRule="exact"/>
        <w:rPr>
          <w:rFonts w:ascii="Times New Roman" w:cs="Times New Roman" w:eastAsia="Times New Roman" w:hAnsi="Times New Roman"/>
          <w:sz w:val="19"/>
          <w:szCs w:val="19"/>
          <w:color w:val="auto"/>
        </w:rPr>
      </w:pPr>
    </w:p>
    <w:p>
      <w:pPr>
        <w:jc w:val="both"/>
        <w:ind w:firstLine="1230"/>
        <w:spacing w:after="0" w:line="252" w:lineRule="auto"/>
        <w:tabs>
          <w:tab w:leader="none" w:pos="18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The Executive acknowledges and agrees that the Executive will not defame or criticize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business, integrity, veracity, or personal or professional reputation of the Company or any of its directors, officers, employees, affiliates, or agents of any of the foregoing in either a professional or personal manner either during the term of the Executive’s employment or thereafter. Nothing in this Agreement prevents the Executive from discussing or disclosing information about unlawful acts in the workplace, such as sexual harassment, sexual assault, or discrimination or any other conduct that the Executive has reason to believe is unlawful, or otherwise restricts or impedes the Executive from exercising protected rights as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116" w:right="339" w:bottom="1440" w:gutter="0" w:footer="0" w:header="0"/>
        </w:sectPr>
      </w:pPr>
    </w:p>
    <w:bookmarkStart w:id="116" w:name="page117"/>
    <w:bookmarkEnd w:id="116"/>
    <w:p>
      <w:pPr>
        <w:ind w:left="1260" w:hanging="644"/>
        <w:spacing w:after="0"/>
        <w:tabs>
          <w:tab w:leader="none" w:pos="12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Remedies for Executive’s Breach of Certain Obligations.</w:t>
      </w:r>
    </w:p>
    <w:p>
      <w:pPr>
        <w:spacing w:after="0" w:line="208"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177"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77"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49"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forfeit to the Company (A) all stock options, stock appreciation rights, performance shares and other equity compensation awards (other than shares of restricted stock, restricted stock units, and common shares issued in settlement of performance share awards or similar awards) granted to the Executive by the Company which remain outstanding and unexercised or unpaid as of the date of such determination by the Board (the “</w:t>
      </w:r>
      <w:r>
        <w:rPr>
          <w:rFonts w:ascii="Times New Roman" w:cs="Times New Roman" w:eastAsia="Times New Roman" w:hAnsi="Times New Roman"/>
          <w:sz w:val="20"/>
          <w:szCs w:val="20"/>
          <w:u w:val="single" w:color="auto"/>
          <w:color w:val="auto"/>
        </w:rPr>
        <w:t>Breach Determination Date</w:t>
      </w:r>
      <w:r>
        <w:rPr>
          <w:rFonts w:ascii="Times New Roman" w:cs="Times New Roman" w:eastAsia="Times New Roman" w:hAnsi="Times New Roman"/>
          <w:sz w:val="20"/>
          <w:szCs w:val="20"/>
          <w:color w:val="auto"/>
        </w:rPr>
        <w:t>”) and (B) all shares of restricted stock, restricted stock units,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84" w:lineRule="exact"/>
        <w:rPr>
          <w:rFonts w:ascii="Times New Roman" w:cs="Times New Roman" w:eastAsia="Times New Roman" w:hAnsi="Times New Roman"/>
          <w:sz w:val="20"/>
          <w:szCs w:val="20"/>
          <w:color w:val="auto"/>
        </w:rPr>
      </w:pPr>
    </w:p>
    <w:p>
      <w:pPr>
        <w:jc w:val="both"/>
        <w:ind w:firstLine="1844"/>
        <w:spacing w:after="0" w:line="251" w:lineRule="auto"/>
        <w:tabs>
          <w:tab w:leader="none" w:pos="2452"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 pursuant to awards of restricted stock, restricted stock units or similar awards granted to the Executive by the Company and which vested during the Forfeiture Period.</w:t>
      </w:r>
    </w:p>
    <w:p>
      <w:pPr>
        <w:spacing w:after="0" w:line="168" w:lineRule="exact"/>
        <w:rPr>
          <w:rFonts w:ascii="Times New Roman" w:cs="Times New Roman" w:eastAsia="Times New Roman" w:hAnsi="Times New Roman"/>
          <w:sz w:val="20"/>
          <w:szCs w:val="20"/>
          <w:color w:val="auto"/>
        </w:rPr>
      </w:pPr>
    </w:p>
    <w:p>
      <w:pPr>
        <w:jc w:val="both"/>
        <w:ind w:firstLine="1230"/>
        <w:spacing w:after="0" w:line="247" w:lineRule="auto"/>
        <w:tabs>
          <w:tab w:leader="none" w:pos="184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115" w:right="339" w:bottom="1440" w:gutter="0" w:footer="0" w:header="0"/>
        </w:sectPr>
      </w:pPr>
    </w:p>
    <w:bookmarkStart w:id="117" w:name="page118"/>
    <w:bookmarkEnd w:id="117"/>
    <w:p>
      <w:pPr>
        <w:jc w:val="both"/>
        <w:ind w:firstLine="1230"/>
        <w:spacing w:after="0" w:line="260" w:lineRule="auto"/>
        <w:tabs>
          <w:tab w:leader="none" w:pos="184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the “</w:t>
      </w:r>
      <w:r>
        <w:rPr>
          <w:rFonts w:ascii="Times New Roman" w:cs="Times New Roman" w:eastAsia="Times New Roman" w:hAnsi="Times New Roman"/>
          <w:sz w:val="20"/>
          <w:szCs w:val="20"/>
          <w:u w:val="single" w:color="auto"/>
          <w:color w:val="auto"/>
        </w:rPr>
        <w:t>Forfeiture Period</w:t>
      </w:r>
      <w:r>
        <w:rPr>
          <w:rFonts w:ascii="Times New Roman" w:cs="Times New Roman" w:eastAsia="Times New Roman" w:hAnsi="Times New Roman"/>
          <w:sz w:val="20"/>
          <w:szCs w:val="20"/>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160" w:lineRule="exact"/>
        <w:rPr>
          <w:rFonts w:ascii="Times New Roman" w:cs="Times New Roman" w:eastAsia="Times New Roman" w:hAnsi="Times New Roman"/>
          <w:sz w:val="20"/>
          <w:szCs w:val="20"/>
          <w:color w:val="auto"/>
        </w:rPr>
      </w:pPr>
    </w:p>
    <w:p>
      <w:pPr>
        <w:ind w:firstLine="1230"/>
        <w:spacing w:after="0" w:line="268" w:lineRule="auto"/>
        <w:tabs>
          <w:tab w:leader="none" w:pos="1842"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pay to the Company immediately upon the Breach Determination Date the amount payable by the Executive to the Company pursuant to this Section.</w:t>
      </w:r>
    </w:p>
    <w:p>
      <w:pPr>
        <w:spacing w:after="0" w:line="164" w:lineRule="exact"/>
        <w:rPr>
          <w:rFonts w:ascii="Times New Roman" w:cs="Times New Roman" w:eastAsia="Times New Roman" w:hAnsi="Times New Roman"/>
          <w:sz w:val="20"/>
          <w:szCs w:val="20"/>
          <w:color w:val="auto"/>
        </w:rPr>
      </w:pPr>
    </w:p>
    <w:p>
      <w:pPr>
        <w:jc w:val="both"/>
        <w:ind w:firstLine="1230"/>
        <w:spacing w:after="0" w:line="247" w:lineRule="auto"/>
        <w:tabs>
          <w:tab w:leader="none" w:pos="1833"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seek specific performance, injunctive relief, and other equitable relief from a court of competent jurisdiction, to prevent or restrain such breach or threatened breach. The Company may at its option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74"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The Executive hereby understands and agrees that (i) if the Executive is an “Affected Officer”,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in the Company’s Policy for Recovery of Erroneously Awarded Incentive Compensation, adopted November 15, 2023 (“Recovery Policy”), the Executive shall be subject to the Recovery Policy in addition to the Company’s recoupment policy (“Recoupment Policy”) and</w:t>
      </w:r>
    </w:p>
    <w:p>
      <w:pPr>
        <w:jc w:val="both"/>
        <w:ind w:firstLine="2"/>
        <w:spacing w:after="0" w:line="246" w:lineRule="auto"/>
        <w:tabs>
          <w:tab w:leader="none" w:pos="30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not an Affected Officer, the Executive shall be subject to the Company’s Recoupment Policy. Under the Recoupment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 (1) the award was predicated upon the achievement of certain financial results that were subsequently the subject of a material restatement, (2) the Board determines that the Executive engaged in fraud or intentional misconduct that was a substantial contributing cause to the need for the restatement, (3) a lower award would have been made to the Executive based upon the restated financial results, and (4) such amount was not otherwise recovered under the Recovery Policy. In each instance, the Company may seek to recover the Executive’s entire gain received by the Executive within the relevant period, plus a reasonable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119" w:right="339" w:bottom="1440" w:gutter="0" w:footer="0" w:header="0"/>
        </w:sectPr>
      </w:pPr>
    </w:p>
    <w:bookmarkStart w:id="118" w:name="page119"/>
    <w:bookmarkEnd w:id="118"/>
    <w:p>
      <w:pPr>
        <w:jc w:val="both"/>
        <w:ind w:firstLine="616"/>
        <w:spacing w:after="0" w:line="255" w:lineRule="auto"/>
        <w:tabs>
          <w:tab w:leader="none" w:pos="131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of Stock Options Following Termination. </w:t>
      </w:r>
      <w:r>
        <w:rPr>
          <w:rFonts w:ascii="Times New Roman" w:cs="Times New Roman" w:eastAsia="Times New Roman" w:hAnsi="Times New Roman"/>
          <w:sz w:val="20"/>
          <w:szCs w:val="20"/>
          <w:color w:val="auto"/>
        </w:rPr>
        <w:t>If the Executive's employment terminates, the Executive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estate) may exercise the Executive's right to purchase any vested stock under the stock options granted to the Executive by the Company as provided in the applicable stock option agreement or Company plan. All such purchases must be made by the Executive in accordance with the applicable stock option plans and agreements between the parties.</w:t>
      </w:r>
    </w:p>
    <w:p>
      <w:pPr>
        <w:spacing w:after="0" w:line="160" w:lineRule="exact"/>
        <w:rPr>
          <w:rFonts w:ascii="Times New Roman" w:cs="Times New Roman" w:eastAsia="Times New Roman" w:hAnsi="Times New Roman"/>
          <w:sz w:val="20"/>
          <w:szCs w:val="20"/>
          <w:color w:val="auto"/>
        </w:rPr>
      </w:pPr>
    </w:p>
    <w:p>
      <w:pPr>
        <w:jc w:val="both"/>
        <w:ind w:firstLine="616"/>
        <w:spacing w:after="0" w:line="252" w:lineRule="auto"/>
        <w:tabs>
          <w:tab w:leader="none" w:pos="127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Successors; Binding Agreement. </w:t>
      </w:r>
      <w:r>
        <w:rPr>
          <w:rFonts w:ascii="Times New Roman" w:cs="Times New Roman" w:eastAsia="Times New Roman" w:hAnsi="Times New Roman"/>
          <w:sz w:val="20"/>
          <w:szCs w:val="20"/>
          <w:color w:val="auto"/>
        </w:rPr>
        <w:t>This Agreement and all rights of the Executive hereunder shall inure to the benefit 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75" w:lineRule="exact"/>
        <w:rPr>
          <w:rFonts w:ascii="Times New Roman" w:cs="Times New Roman" w:eastAsia="Times New Roman" w:hAnsi="Times New Roman"/>
          <w:sz w:val="20"/>
          <w:szCs w:val="20"/>
          <w:color w:val="auto"/>
        </w:rPr>
      </w:pPr>
    </w:p>
    <w:p>
      <w:pPr>
        <w:jc w:val="both"/>
        <w:ind w:firstLine="616"/>
        <w:spacing w:after="0" w:line="250" w:lineRule="auto"/>
        <w:tabs>
          <w:tab w:leader="none" w:pos="128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Insurance and Indemnity. </w:t>
      </w:r>
      <w:r>
        <w:rPr>
          <w:rFonts w:ascii="Times New Roman" w:cs="Times New Roman" w:eastAsia="Times New Roman" w:hAnsi="Times New Roman"/>
          <w:sz w:val="20"/>
          <w:szCs w:val="20"/>
          <w:color w:val="auto"/>
        </w:rPr>
        <w:t>The Company shall, to the extent permitted by law, include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64" w:lineRule="exact"/>
        <w:rPr>
          <w:rFonts w:ascii="Times New Roman" w:cs="Times New Roman" w:eastAsia="Times New Roman" w:hAnsi="Times New Roman"/>
          <w:sz w:val="20"/>
          <w:szCs w:val="20"/>
          <w:color w:val="auto"/>
        </w:rPr>
      </w:pPr>
    </w:p>
    <w:p>
      <w:pPr>
        <w:jc w:val="both"/>
        <w:ind w:firstLine="616"/>
        <w:spacing w:after="0" w:line="262" w:lineRule="auto"/>
        <w:tabs>
          <w:tab w:leader="none" w:pos="127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For the purposes of this Agreement, notices, demands and all other communications provided for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to have been duly given when delivered or (unless otherwise specified) mailed by United States registered mail, return receipt requested, postage prepaid, addressed as follows:</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If to the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Hartshorn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5130 Hacienda Drive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Dublin, CA 94568-7579</w:t>
      </w:r>
    </w:p>
    <w:p>
      <w:pPr>
        <w:spacing w:after="0" w:line="200" w:lineRule="exact"/>
        <w:rPr>
          <w:sz w:val="20"/>
          <w:szCs w:val="20"/>
          <w:color w:val="auto"/>
        </w:rPr>
      </w:pPr>
    </w:p>
    <w:p>
      <w:pPr>
        <w:sectPr>
          <w:pgSz w:w="11900" w:h="16838" w:orient="portrait"/>
          <w:cols w:equalWidth="0" w:num="2">
            <w:col w:w="3940" w:space="720"/>
            <w:col w:w="6580"/>
          </w:cols>
          <w:pgMar w:left="320" w:top="1116" w:right="339" w:bottom="1440" w:gutter="0" w:footer="0" w:header="0"/>
          <w:type w:val="continuous"/>
        </w:sectPr>
      </w:pPr>
    </w:p>
    <w:p>
      <w:pPr>
        <w:spacing w:after="0" w:line="6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Ross Stores,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5130 Hacienda Drive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Dublin, CA 94568-7579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00" w:lineRule="exact"/>
        <w:rPr>
          <w:sz w:val="20"/>
          <w:szCs w:val="20"/>
          <w:color w:val="auto"/>
        </w:rPr>
      </w:pPr>
    </w:p>
    <w:p>
      <w:pPr>
        <w:sectPr>
          <w:pgSz w:w="11900" w:h="16838" w:orient="portrait"/>
          <w:cols w:equalWidth="0" w:num="2">
            <w:col w:w="3940" w:space="720"/>
            <w:col w:w="6580"/>
          </w:cols>
          <w:pgMar w:left="320" w:top="1116" w:right="339" w:bottom="1440" w:gutter="0" w:footer="0" w:header="0"/>
          <w:type w:val="continuous"/>
        </w:sectPr>
      </w:pPr>
    </w:p>
    <w:p>
      <w:pPr>
        <w:spacing w:after="0" w:line="1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or to such other address as any party may have furnished to the other in writing in accordance herewith, except that notices of change of address shall be effective only upon receipt.</w:t>
      </w:r>
    </w:p>
    <w:p>
      <w:pPr>
        <w:spacing w:after="0" w:line="135" w:lineRule="exact"/>
        <w:rPr>
          <w:sz w:val="20"/>
          <w:szCs w:val="20"/>
          <w:color w:val="auto"/>
        </w:rPr>
      </w:pPr>
    </w:p>
    <w:p>
      <w:pPr>
        <w:jc w:val="both"/>
        <w:ind w:firstLine="616"/>
        <w:spacing w:after="0" w:line="262" w:lineRule="auto"/>
        <w:tabs>
          <w:tab w:leader="none" w:pos="131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Complete Agreement; Modification, Waiver; Entire Agreement. </w:t>
      </w:r>
      <w:r>
        <w:rPr>
          <w:rFonts w:ascii="Times New Roman" w:cs="Times New Roman" w:eastAsia="Times New Roman" w:hAnsi="Times New Roman"/>
          <w:sz w:val="20"/>
          <w:szCs w:val="20"/>
          <w:color w:val="auto"/>
        </w:rPr>
        <w:t>This Agreement, along with any compensation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summary, stock option, restricted stock, performance share or other equity compensation award agreements between the parties, represents the complete agreement of the parties with respect to the subject matter hereof and supersedes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116" w:right="339" w:bottom="1440" w:gutter="0" w:footer="0" w:header="0"/>
          <w:type w:val="continuous"/>
        </w:sectPr>
      </w:pPr>
    </w:p>
    <w:bookmarkStart w:id="119" w:name="page120"/>
    <w:bookmarkEnd w:id="119"/>
    <w:p>
      <w:pPr>
        <w:jc w:val="both"/>
        <w:spacing w:after="0" w:line="247" w:lineRule="auto"/>
        <w:rPr>
          <w:sz w:val="20"/>
          <w:szCs w:val="20"/>
          <w:color w:val="auto"/>
        </w:rPr>
      </w:pPr>
      <w:r>
        <w:rPr>
          <w:rFonts w:ascii="Times New Roman" w:cs="Times New Roman" w:eastAsia="Times New Roman" w:hAnsi="Times New Roman"/>
          <w:sz w:val="20"/>
          <w:szCs w:val="20"/>
          <w:color w:val="auto"/>
        </w:rPr>
        <w:t>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 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74" w:lineRule="exact"/>
        <w:rPr>
          <w:sz w:val="20"/>
          <w:szCs w:val="20"/>
          <w:color w:val="auto"/>
        </w:rPr>
      </w:pPr>
    </w:p>
    <w:p>
      <w:pPr>
        <w:jc w:val="both"/>
        <w:ind w:firstLine="616"/>
        <w:spacing w:after="0" w:line="262" w:lineRule="auto"/>
        <w:tabs>
          <w:tab w:leader="none" w:pos="128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Governing Law - Severability. </w:t>
      </w:r>
      <w:r>
        <w:rPr>
          <w:rFonts w:ascii="Times New Roman" w:cs="Times New Roman" w:eastAsia="Times New Roman" w:hAnsi="Times New Roman"/>
          <w:sz w:val="19"/>
          <w:szCs w:val="19"/>
          <w:color w:val="auto"/>
        </w:rPr>
        <w:t>The validity, interpretation, construction, performance, and enforcement of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governed by the laws of the state in which the Executive’s principal place of employment described in Section 3 is located without reference to that state’s choice of law rules. Notwithstanding the foregoing and subject to the provisions of Section 10(f) hereof which entitles the Company to pursue injunctive relief in a court of competent jurisdiction, the Federal Arbitration Act, 9 U.S.C. § 1 et seq. and federal law shall govern all aspects of the agreement between the parties in Section 19 to arbitrate claims arising from or related to this Agreement. If any provision of this Agreement shall be held or deemed to be invalid, illegal, or unenforceable in any jurisdiction, for any reason, such holding shall not affect the validity of the remainder of this Agreement, which shall continue to be binding upon the parties with any such modification and treated as though originally set forth in this Agreement, nor shall such holding have the effect of rendering the provision in question unenforceable in any other jurisdiction or in any other case or of rendering any other provisions herein unenforceable. The parties further agree that any such court or arbitrator is expressly authorized to modify and substitute any such unenforceable provision of this agreement with a valid provision which most closely approximates the intent and the economic effect of the invalid provision and which would be enforceable to the maximum extent permitted in such jurisdiction or in such case and that this Agreement as so modified shall be binding upon and enforceable against each of them. If such provision or provisions are not modified as provided above, the parties agree that they shall negotiate in good faith to modify this Agreement so as to effect the original intent of the parties as closely as possible in an acceptable manner in order that the Agreement is consummated as originally contemplated to the greatest extent possible.</w:t>
      </w:r>
    </w:p>
    <w:p>
      <w:pPr>
        <w:spacing w:after="0" w:line="157" w:lineRule="exact"/>
        <w:rPr>
          <w:rFonts w:ascii="Times New Roman" w:cs="Times New Roman" w:eastAsia="Times New Roman" w:hAnsi="Times New Roman"/>
          <w:sz w:val="19"/>
          <w:szCs w:val="19"/>
          <w:color w:val="auto"/>
        </w:rPr>
      </w:pPr>
    </w:p>
    <w:p>
      <w:pPr>
        <w:jc w:val="both"/>
        <w:ind w:firstLine="616"/>
        <w:spacing w:after="0" w:line="255" w:lineRule="auto"/>
        <w:tabs>
          <w:tab w:leader="none" w:pos="126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Mitigation. </w:t>
      </w:r>
      <w:r>
        <w:rPr>
          <w:rFonts w:ascii="Times New Roman" w:cs="Times New Roman" w:eastAsia="Times New Roman" w:hAnsi="Times New Roman"/>
          <w:sz w:val="20"/>
          <w:szCs w:val="20"/>
          <w:color w:val="auto"/>
        </w:rPr>
        <w:t>In the event the Executive’s employment with the Company terminates for any reason, the Executive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obligated to seek other employment following such termination. However, any amounts due to the Executive under Sections 8(a)(i), 8(a)(ii), 8(a)(vii), 8(e)(i)(a), 8(e)(i)(b), 8(e)(i)(d) or 8(e)(i)(e) (collectively, “</w:t>
      </w:r>
      <w:r>
        <w:rPr>
          <w:rFonts w:ascii="Times New Roman" w:cs="Times New Roman" w:eastAsia="Times New Roman" w:hAnsi="Times New Roman"/>
          <w:sz w:val="20"/>
          <w:szCs w:val="20"/>
          <w:u w:val="single" w:color="auto"/>
          <w:color w:val="auto"/>
        </w:rPr>
        <w:t>Mitigable Severance</w:t>
      </w:r>
      <w:r>
        <w:rPr>
          <w:rFonts w:ascii="Times New Roman" w:cs="Times New Roman" w:eastAsia="Times New Roman" w:hAnsi="Times New Roman"/>
          <w:sz w:val="20"/>
          <w:szCs w:val="20"/>
          <w:color w:val="auto"/>
        </w:rPr>
        <w:t>”) shall be offset by any cash remuneration, health care coverage and/or estate planning reimbursements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119" w:right="339" w:bottom="1440" w:gutter="0" w:footer="0" w:header="0"/>
        </w:sectPr>
      </w:pPr>
    </w:p>
    <w:bookmarkStart w:id="120" w:name="page121"/>
    <w:bookmarkEnd w:id="120"/>
    <w:p>
      <w:pPr>
        <w:jc w:val="both"/>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Mitigable Compensation</w:t>
      </w:r>
      <w:r>
        <w:rPr>
          <w:rFonts w:ascii="Times New Roman" w:cs="Times New Roman" w:eastAsia="Times New Roman" w:hAnsi="Times New Roman"/>
          <w:sz w:val="19"/>
          <w:szCs w:val="19"/>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 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156" w:lineRule="exact"/>
        <w:rPr>
          <w:sz w:val="20"/>
          <w:szCs w:val="20"/>
          <w:color w:val="auto"/>
        </w:rPr>
      </w:pPr>
    </w:p>
    <w:p>
      <w:pPr>
        <w:jc w:val="both"/>
        <w:ind w:firstLine="616"/>
        <w:spacing w:after="0" w:line="252" w:lineRule="auto"/>
        <w:tabs>
          <w:tab w:leader="none" w:pos="129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w:t>
      </w:r>
      <w:r>
        <w:rPr>
          <w:rFonts w:ascii="Times New Roman" w:cs="Times New Roman" w:eastAsia="Times New Roman" w:hAnsi="Times New Roman"/>
          <w:sz w:val="20"/>
          <w:szCs w:val="20"/>
          <w:color w:val="auto"/>
        </w:rPr>
        <w:t>All payments required to be made by the Company hereunder to the Executive or the Executive’s estate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75" w:lineRule="exact"/>
        <w:rPr>
          <w:rFonts w:ascii="Times New Roman" w:cs="Times New Roman" w:eastAsia="Times New Roman" w:hAnsi="Times New Roman"/>
          <w:sz w:val="20"/>
          <w:szCs w:val="20"/>
          <w:color w:val="auto"/>
        </w:rPr>
      </w:pPr>
    </w:p>
    <w:p>
      <w:pPr>
        <w:jc w:val="both"/>
        <w:ind w:firstLine="616"/>
        <w:spacing w:after="0" w:line="261" w:lineRule="auto"/>
        <w:tabs>
          <w:tab w:leader="none" w:pos="1279"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Arbitration. </w:t>
      </w:r>
      <w:r>
        <w:rPr>
          <w:rFonts w:ascii="Times New Roman" w:cs="Times New Roman" w:eastAsia="Times New Roman" w:hAnsi="Times New Roman"/>
          <w:sz w:val="19"/>
          <w:szCs w:val="19"/>
          <w:color w:val="auto"/>
        </w:rPr>
        <w:t>Except as otherwise provided by applicable law or as otherwise provided for in this Agreement,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Executive shall resolve all disputes or claims relating to or arising out of the parties' employment relationship, separation or termination of employment,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Times New Roman" w:cs="Times New Roman" w:eastAsia="Times New Roman" w:hAnsi="Times New Roman"/>
          <w:sz w:val="19"/>
          <w:szCs w:val="19"/>
          <w:u w:val="single" w:color="auto"/>
          <w:color w:val="auto"/>
        </w:rPr>
        <w:t>Arbitration Agreement</w:t>
      </w:r>
      <w:r>
        <w:rPr>
          <w:rFonts w:ascii="Times New Roman" w:cs="Times New Roman" w:eastAsia="Times New Roman" w:hAnsi="Times New Roman"/>
          <w:sz w:val="19"/>
          <w:szCs w:val="19"/>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The parties are expressly waiving all rights to have their disputes heard or decided by a jury or in a court trial. And to the extent permitted by law, the Company and the Executive agree that each may file claims against the other only in their individual capacities, and may not file claims as a named plaintiff, or participate as a class member, in any class or collective action against the other. For the avoidance of doubt, in the event of a breach or threatened breach by the Executive of Sections 5 or 9 of this Agreement, nothing in this arbitration provision or the Arbitration Agreement shall be construed to prevent the Company from seeking interim or temporary injunctive or equitable relief from a court of competent jurisdiction pending arbitration, and, as permitted by law, without the necessity of showing actual damages or the necessity of posting bond or other security. This provision fully incorporates the Arbitration Agreement provided, however, that in the event of any conflict between this provision and the Arbitration Agreement, this provision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120" w:right="339" w:bottom="1440" w:gutter="0" w:footer="0" w:header="0"/>
        </w:sectPr>
      </w:pPr>
    </w:p>
    <w:bookmarkStart w:id="121" w:name="page122"/>
    <w:bookmarkEnd w:id="121"/>
    <w:p>
      <w:pPr>
        <w:jc w:val="both"/>
        <w:ind w:firstLine="614"/>
        <w:spacing w:after="0" w:line="249" w:lineRule="auto"/>
        <w:rPr>
          <w:sz w:val="20"/>
          <w:szCs w:val="20"/>
          <w:color w:val="auto"/>
        </w:rPr>
      </w:pPr>
      <w:r>
        <w:rPr>
          <w:rFonts w:ascii="Times New Roman" w:cs="Times New Roman" w:eastAsia="Times New Roman" w:hAnsi="Times New Roman"/>
          <w:sz w:val="20"/>
          <w:szCs w:val="20"/>
          <w:color w:val="auto"/>
        </w:rPr>
        <w:t>If there is termination of the Executive’s employment with the Company followed by a dispute as to whether the Executive is entitled to the benefits provided under this Agreement, then, 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 withheld during the period of the dispute plus interest at the rate provided in Section 1274(d) of the Code.</w:t>
      </w:r>
    </w:p>
    <w:p>
      <w:pPr>
        <w:spacing w:after="0" w:line="168" w:lineRule="exact"/>
        <w:rPr>
          <w:sz w:val="20"/>
          <w:szCs w:val="20"/>
          <w:color w:val="auto"/>
        </w:rPr>
      </w:pPr>
    </w:p>
    <w:p>
      <w:pPr>
        <w:ind w:firstLine="616"/>
        <w:spacing w:after="0" w:line="285" w:lineRule="auto"/>
        <w:tabs>
          <w:tab w:leader="none" w:pos="127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Attorney’s Fees. </w:t>
      </w:r>
      <w:r>
        <w:rPr>
          <w:rFonts w:ascii="Times New Roman" w:cs="Times New Roman" w:eastAsia="Times New Roman" w:hAnsi="Times New Roman"/>
          <w:sz w:val="20"/>
          <w:szCs w:val="20"/>
          <w:color w:val="auto"/>
        </w:rPr>
        <w:t>Except as otherwise provided herein or in the Arbitration Agreement, if applicable, each party shall bear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 attorney’s fees and costs incurred in any action or dispute arising out of this Agreement.</w:t>
      </w:r>
    </w:p>
    <w:p>
      <w:pPr>
        <w:spacing w:after="0" w:line="131" w:lineRule="exact"/>
        <w:rPr>
          <w:rFonts w:ascii="Times New Roman" w:cs="Times New Roman" w:eastAsia="Times New Roman" w:hAnsi="Times New Roman"/>
          <w:sz w:val="20"/>
          <w:szCs w:val="20"/>
          <w:color w:val="auto"/>
        </w:rPr>
      </w:pPr>
    </w:p>
    <w:p>
      <w:pPr>
        <w:jc w:val="both"/>
        <w:ind w:firstLine="616"/>
        <w:spacing w:after="0" w:line="254" w:lineRule="auto"/>
        <w:tabs>
          <w:tab w:leader="none" w:pos="127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No right or interest to, or in, any payments shall be assignable by the Executive; provided, however,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164" w:lineRule="exact"/>
        <w:rPr>
          <w:rFonts w:ascii="Times New Roman" w:cs="Times New Roman" w:eastAsia="Times New Roman" w:hAnsi="Times New Roman"/>
          <w:sz w:val="20"/>
          <w:szCs w:val="20"/>
          <w:color w:val="auto"/>
        </w:rPr>
      </w:pPr>
    </w:p>
    <w:p>
      <w:pPr>
        <w:jc w:val="both"/>
        <w:ind w:firstLine="616"/>
        <w:spacing w:after="0" w:line="252" w:lineRule="auto"/>
        <w:tabs>
          <w:tab w:leader="none" w:pos="127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this Agreement to the contrary, the provision,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manner of payment or distribution of all compensation and benefits provided by this Agreement that constitute nonqualified deferred compensation subject to and not exempted from the requirements of Code Section 409A (“</w:t>
      </w:r>
      <w:r>
        <w:rPr>
          <w:rFonts w:ascii="Times New Roman" w:cs="Times New Roman" w:eastAsia="Times New Roman" w:hAnsi="Times New Roman"/>
          <w:sz w:val="20"/>
          <w:szCs w:val="20"/>
          <w:u w:val="single" w:color="auto"/>
          <w:color w:val="auto"/>
        </w:rPr>
        <w:t>Section 409A Deferred Compensation</w:t>
      </w:r>
      <w:r>
        <w:rPr>
          <w:rFonts w:ascii="Times New Roman" w:cs="Times New Roman" w:eastAsia="Times New Roman" w:hAnsi="Times New Roman"/>
          <w:sz w:val="20"/>
          <w:szCs w:val="20"/>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including the following:</w:t>
      </w:r>
    </w:p>
    <w:p>
      <w:pPr>
        <w:spacing w:after="0" w:line="175" w:lineRule="exact"/>
        <w:rPr>
          <w:rFonts w:ascii="Times New Roman" w:cs="Times New Roman" w:eastAsia="Times New Roman" w:hAnsi="Times New Roman"/>
          <w:sz w:val="20"/>
          <w:szCs w:val="20"/>
          <w:color w:val="auto"/>
        </w:rPr>
      </w:pPr>
    </w:p>
    <w:p>
      <w:pPr>
        <w:jc w:val="both"/>
        <w:ind w:firstLine="1230"/>
        <w:spacing w:after="0" w:line="255" w:lineRule="auto"/>
        <w:tabs>
          <w:tab w:leader="none" w:pos="1842"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Payments and benefits constituting Section 409A Deferred Compensation otherwise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provided pursuant to Section 8 upon the Executive’s termination of employment shall be paid or provided only at the time of a termination of the Executive’s employment that constitutes a Separation from Service. For the purposes of this Agreement,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is a separation from service within the meaning of Treasury Regulation Section 1.409A-1(h).</w:t>
      </w:r>
    </w:p>
    <w:p>
      <w:pPr>
        <w:spacing w:after="0" w:line="160"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Six-Month Delay Applicable to Specified Employees. </w:t>
      </w:r>
      <w:r>
        <w:rPr>
          <w:rFonts w:ascii="Times New Roman" w:cs="Times New Roman" w:eastAsia="Times New Roman" w:hAnsi="Times New Roman"/>
          <w:sz w:val="20"/>
          <w:szCs w:val="20"/>
          <w:color w:val="auto"/>
        </w:rPr>
        <w:t>If, at the time of a Separation from Service of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is a “specified employee” within the meaning of Section 409A(a)(2)(B)(i) (a “</w:t>
      </w:r>
      <w:r>
        <w:rPr>
          <w:rFonts w:ascii="Times New Roman" w:cs="Times New Roman" w:eastAsia="Times New Roman" w:hAnsi="Times New Roman"/>
          <w:sz w:val="20"/>
          <w:szCs w:val="20"/>
          <w:u w:val="single" w:color="auto"/>
          <w:color w:val="auto"/>
        </w:rPr>
        <w:t>Specified Employee</w:t>
      </w:r>
      <w:r>
        <w:rPr>
          <w:rFonts w:ascii="Times New Roman" w:cs="Times New Roman" w:eastAsia="Times New Roman" w:hAnsi="Times New Roman"/>
          <w:sz w:val="20"/>
          <w:szCs w:val="20"/>
          <w:color w:val="auto"/>
        </w:rPr>
        <w:t>”), then any payments and benefits 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w:t>
      </w:r>
      <w:r>
        <w:rPr>
          <w:rFonts w:ascii="Times New Roman" w:cs="Times New Roman" w:eastAsia="Times New Roman" w:hAnsi="Times New Roman"/>
          <w:sz w:val="20"/>
          <w:szCs w:val="20"/>
          <w:u w:val="single" w:color="auto"/>
          <w:color w:val="auto"/>
        </w:rPr>
        <w:t>Delayed Payment Date</w:t>
      </w:r>
      <w:r>
        <w:rPr>
          <w:rFonts w:ascii="Times New Roman" w:cs="Times New Roman" w:eastAsia="Times New Roman" w:hAnsi="Times New Roman"/>
          <w:sz w:val="20"/>
          <w:szCs w:val="20"/>
          <w:color w:val="auto"/>
        </w:rPr>
        <w:t>”), or (ii) the date or dates on which such Section 409A Deferred Compensation would otherwise be paid or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120" w:right="339" w:bottom="1440" w:gutter="0" w:footer="0" w:header="0"/>
        </w:sectPr>
      </w:pPr>
    </w:p>
    <w:bookmarkStart w:id="122" w:name="page123"/>
    <w:bookmarkEnd w:id="122"/>
    <w:p>
      <w:pPr>
        <w:spacing w:after="0" w:line="268" w:lineRule="auto"/>
        <w:rPr>
          <w:sz w:val="20"/>
          <w:szCs w:val="20"/>
          <w:color w:val="auto"/>
        </w:rPr>
      </w:pPr>
      <w:r>
        <w:rPr>
          <w:rFonts w:ascii="Times New Roman" w:cs="Times New Roman" w:eastAsia="Times New Roman" w:hAnsi="Times New Roman"/>
          <w:sz w:val="20"/>
          <w:szCs w:val="20"/>
          <w:color w:val="auto"/>
        </w:rPr>
        <w:t>accordance with Section 8. All such amounts that would, but for this Section 22(b), become payable prior to the Delayed Payment Date shall be accumulated and paid on the Delayed Payment Date.</w:t>
      </w:r>
    </w:p>
    <w:p>
      <w:pPr>
        <w:spacing w:after="0" w:line="160" w:lineRule="exact"/>
        <w:rPr>
          <w:sz w:val="20"/>
          <w:szCs w:val="20"/>
          <w:color w:val="auto"/>
        </w:rPr>
      </w:pPr>
    </w:p>
    <w:p>
      <w:pPr>
        <w:jc w:val="both"/>
        <w:ind w:firstLine="1230"/>
        <w:spacing w:after="0" w:line="248" w:lineRule="auto"/>
        <w:tabs>
          <w:tab w:leader="none" w:pos="184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and Estate Planning Benefits. </w:t>
      </w:r>
      <w:r>
        <w:rPr>
          <w:rFonts w:ascii="Times New Roman" w:cs="Times New Roman" w:eastAsia="Times New Roman" w:hAnsi="Times New Roman"/>
          <w:sz w:val="20"/>
          <w:szCs w:val="20"/>
          <w:color w:val="auto"/>
        </w:rPr>
        <w:t>In the event that all or any of the health care or estate planning benefits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provided pursuant to Sections 8(a)(vii); 8(e)(i)(d) or 8(e)(i)(e) as a result of a Participant’s Separation from Service constitute Section 409A Deferred Compensation, the Company shall provide for such benefits constituting Section 409A Deferred Compensation in a manner that complies with Section 409A. To the extent necessary to comply with 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 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166"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Stock-Based Awards. </w:t>
      </w:r>
      <w:r>
        <w:rPr>
          <w:rFonts w:ascii="Times New Roman" w:cs="Times New Roman" w:eastAsia="Times New Roman" w:hAnsi="Times New Roman"/>
          <w:sz w:val="20"/>
          <w:szCs w:val="20"/>
          <w:color w:val="auto"/>
        </w:rPr>
        <w:t>The vesting of any stock-based compensation awards which constitute Section 409A 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 payable upon a Change in Control in accordance with Section 8(e) shall not be subject to this Section 22(d).</w:t>
      </w:r>
    </w:p>
    <w:p>
      <w:pPr>
        <w:spacing w:after="0" w:line="16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Notwithstanding any provision of this Agreement to the contrary, to the extent that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64" w:lineRule="exact"/>
        <w:rPr>
          <w:rFonts w:ascii="Times New Roman" w:cs="Times New Roman" w:eastAsia="Times New Roman" w:hAnsi="Times New Roman"/>
          <w:sz w:val="20"/>
          <w:szCs w:val="20"/>
          <w:color w:val="auto"/>
        </w:rPr>
      </w:pPr>
    </w:p>
    <w:p>
      <w:pPr>
        <w:jc w:val="both"/>
        <w:ind w:firstLine="1230"/>
        <w:spacing w:after="0" w:line="262" w:lineRule="auto"/>
        <w:tabs>
          <w:tab w:leader="none" w:pos="183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Installments. </w:t>
      </w:r>
      <w:r>
        <w:rPr>
          <w:rFonts w:ascii="Times New Roman" w:cs="Times New Roman" w:eastAsia="Times New Roman" w:hAnsi="Times New Roman"/>
          <w:sz w:val="20"/>
          <w:szCs w:val="20"/>
          <w:color w:val="auto"/>
        </w:rPr>
        <w:t>The Executive’s right to receive any installment payments payable hereunder shall be treated as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a series of separate payments and, accordingly, each such installment payment shall at all times be considered a separate and distinct payment for purposes of Section 409A.</w:t>
      </w:r>
    </w:p>
    <w:p>
      <w:pPr>
        <w:spacing w:after="0" w:line="154" w:lineRule="exact"/>
        <w:rPr>
          <w:rFonts w:ascii="Times New Roman" w:cs="Times New Roman" w:eastAsia="Times New Roman" w:hAnsi="Times New Roman"/>
          <w:sz w:val="20"/>
          <w:szCs w:val="20"/>
          <w:color w:val="auto"/>
        </w:rPr>
      </w:pPr>
    </w:p>
    <w:p>
      <w:pPr>
        <w:jc w:val="both"/>
        <w:ind w:firstLine="1230"/>
        <w:spacing w:after="0" w:line="254" w:lineRule="auto"/>
        <w:tabs>
          <w:tab w:leader="none" w:pos="18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Reimbursements. </w:t>
      </w:r>
      <w:r>
        <w:rPr>
          <w:rFonts w:ascii="Times New Roman" w:cs="Times New Roman" w:eastAsia="Times New Roman" w:hAnsi="Times New Roman"/>
          <w:sz w:val="20"/>
          <w:szCs w:val="20"/>
          <w:color w:val="auto"/>
        </w:rPr>
        <w:t>To the extent that any reimbursements payable to the Executive pursuant to this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of Section 409A of the Code, such reimbursements shall be paid to the Executive no later than December 31 of the year following the year in which the cost was incurred; the amount of expenses reimbursed in one year shall not affect the amount eligible for reimbursement in any subsequent year; and the Executive’s right to reimbursement under this Agreement will not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119" w:right="339" w:bottom="1440" w:gutter="0" w:footer="0" w:header="0"/>
        </w:sectPr>
      </w:pPr>
    </w:p>
    <w:bookmarkStart w:id="123" w:name="page124"/>
    <w:bookmarkEnd w:id="123"/>
    <w:p>
      <w:pPr>
        <w:jc w:val="both"/>
        <w:ind w:firstLine="1230"/>
        <w:spacing w:after="0" w:line="260" w:lineRule="auto"/>
        <w:tabs>
          <w:tab w:leader="none" w:pos="1902" w:val="left"/>
        </w:tabs>
        <w:numPr>
          <w:ilvl w:val="2"/>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Rights of the Company; Release of Liability. </w:t>
      </w:r>
      <w:r>
        <w:rPr>
          <w:rFonts w:ascii="Times New Roman" w:cs="Times New Roman" w:eastAsia="Times New Roman" w:hAnsi="Times New Roman"/>
          <w:sz w:val="19"/>
          <w:szCs w:val="19"/>
          <w:color w:val="auto"/>
        </w:rPr>
        <w:t>It is the mutual intention of the Executive and the Company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 which payments would otherwise be made pursuant to this Agreement and</w:t>
      </w:r>
    </w:p>
    <w:p>
      <w:pPr>
        <w:spacing w:after="0" w:line="6" w:lineRule="exact"/>
        <w:rPr>
          <w:rFonts w:ascii="Times New Roman" w:cs="Times New Roman" w:eastAsia="Times New Roman" w:hAnsi="Times New Roman"/>
          <w:sz w:val="19"/>
          <w:szCs w:val="19"/>
          <w:color w:val="auto"/>
        </w:rPr>
      </w:pPr>
    </w:p>
    <w:p>
      <w:pPr>
        <w:jc w:val="both"/>
        <w:ind w:firstLine="2"/>
        <w:spacing w:after="0" w:line="246" w:lineRule="auto"/>
        <w:tabs>
          <w:tab w:leader="none" w:pos="29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71" w:lineRule="exact"/>
        <w:rPr>
          <w:rFonts w:ascii="Times New Roman" w:cs="Times New Roman" w:eastAsia="Times New Roman" w:hAnsi="Times New Roman"/>
          <w:sz w:val="20"/>
          <w:szCs w:val="20"/>
          <w:color w:val="auto"/>
        </w:rPr>
      </w:pPr>
    </w:p>
    <w:p>
      <w:pPr>
        <w:jc w:val="both"/>
        <w:ind w:firstLine="616"/>
        <w:spacing w:after="0" w:line="249" w:lineRule="auto"/>
        <w:tabs>
          <w:tab w:leader="none" w:pos="1308"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Future Equity Compensation. </w:t>
      </w:r>
      <w:r>
        <w:rPr>
          <w:rFonts w:ascii="Times New Roman" w:cs="Times New Roman" w:eastAsia="Times New Roman" w:hAnsi="Times New Roman"/>
          <w:sz w:val="20"/>
          <w:szCs w:val="20"/>
          <w:color w:val="auto"/>
        </w:rPr>
        <w:t>The Executive understands and acknowledges that all awards, if any, of stock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performance shares and other forms of equity compensation by the Company are made at the sole discretion of the Board or such other 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 (b) any such award which is nevertheless granted to the Executive after the intended commencement of the Initial Term or any Extension thereof for which the Executive has failed to sign such Agreement or applicable Extension amendment shall not vest unless and until the Executive has executed the Agreement or applicable Extension amendment, notwithstanding the provisions of any agreement evidencing such award to the contrary.</w:t>
      </w:r>
    </w:p>
    <w:p>
      <w:pPr>
        <w:spacing w:after="0" w:line="147" w:lineRule="exact"/>
        <w:rPr>
          <w:rFonts w:ascii="Times New Roman" w:cs="Times New Roman" w:eastAsia="Times New Roman" w:hAnsi="Times New Roman"/>
          <w:sz w:val="20"/>
          <w:szCs w:val="20"/>
          <w:color w:val="auto"/>
        </w:rPr>
      </w:pPr>
    </w:p>
    <w:p>
      <w:pPr>
        <w:ind w:left="1240" w:hanging="624"/>
        <w:spacing w:after="0"/>
        <w:tabs>
          <w:tab w:leader="none" w:pos="12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Counsel. </w:t>
      </w:r>
      <w:r>
        <w:rPr>
          <w:rFonts w:ascii="Times New Roman" w:cs="Times New Roman" w:eastAsia="Times New Roman" w:hAnsi="Times New Roman"/>
          <w:sz w:val="20"/>
          <w:szCs w:val="20"/>
          <w:color w:val="auto"/>
        </w:rPr>
        <w:t>The Executive has been advised of the Executive’s right to consult with counsel prior to executing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116" w:right="339" w:bottom="1440" w:gutter="0" w:footer="0" w:header="0"/>
        </w:sectPr>
      </w:pPr>
    </w:p>
    <w:bookmarkStart w:id="124" w:name="page125"/>
    <w:bookmarkEnd w:id="124"/>
    <w:p>
      <w:pPr>
        <w:spacing w:after="0" w:line="25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Executive Employment Agreement effective as of the date and year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Ross Stores, Inc. and Subsidiaries</w:t>
            </w:r>
          </w:p>
        </w:tc>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49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Jim Conroy</w:t>
            </w:r>
          </w:p>
        </w:tc>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/s/ Michael Hartshorn</w:t>
            </w:r>
          </w:p>
        </w:tc>
      </w:tr>
      <w:tr>
        <w:trPr>
          <w:trHeight w:val="231"/>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By: James G. Conroy</w:t>
            </w:r>
          </w:p>
        </w:tc>
        <w:tc>
          <w:tcPr>
            <w:tcW w:w="560" w:type="dxa"/>
            <w:vAlign w:val="bottom"/>
          </w:tcPr>
          <w:p>
            <w:pPr>
              <w:spacing w:after="0"/>
              <w:rPr>
                <w:sz w:val="20"/>
                <w:szCs w:val="20"/>
                <w:color w:val="auto"/>
              </w:rPr>
            </w:pPr>
          </w:p>
        </w:tc>
        <w:tc>
          <w:tcPr>
            <w:tcW w:w="5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Michael Hartshorn</w:t>
            </w:r>
          </w:p>
        </w:tc>
      </w:tr>
      <w:tr>
        <w:trPr>
          <w:trHeight w:val="25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Group President and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0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Exhibit A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SEPARATION AGREEMENT AND GENERAL RELEASE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Confidential Separation Agreement and General Release (“Agreement”) is entered into by and between ___________ (“Executive”) and</w:t>
      </w:r>
    </w:p>
    <w:p>
      <w:pPr>
        <w:spacing w:after="0" w:line="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Ross Stores, Inc. and its subsidiaries (collectively “Ross” or the “Company”). In consideration for the mutual covenants and undertakings set forth below, Executive and Ross (collectively referred to as the “Parties”) knowingly and voluntarily agree as follows:</w:t>
      </w:r>
    </w:p>
    <w:p>
      <w:pPr>
        <w:spacing w:after="0" w:line="201" w:lineRule="exact"/>
        <w:rPr>
          <w:sz w:val="20"/>
          <w:szCs w:val="20"/>
          <w:color w:val="auto"/>
        </w:rPr>
      </w:pPr>
    </w:p>
    <w:p>
      <w:pPr>
        <w:ind w:left="600" w:hanging="598"/>
        <w:spacing w:after="0"/>
        <w:tabs>
          <w:tab w:leader="none" w:pos="6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w:t>
      </w:r>
      <w:r>
        <w:rPr>
          <w:rFonts w:ascii="Times New Roman" w:cs="Times New Roman" w:eastAsia="Times New Roman" w:hAnsi="Times New Roman"/>
          <w:sz w:val="20"/>
          <w:szCs w:val="20"/>
          <w:color w:val="auto"/>
        </w:rPr>
        <w:t>Executive’s employment with Ross terminates or terminated effective ______________ (the “Separation Date”).</w:t>
      </w:r>
    </w:p>
    <w:p>
      <w:pPr>
        <w:spacing w:after="0" w:line="204" w:lineRule="exact"/>
        <w:rPr>
          <w:rFonts w:ascii="Times New Roman" w:cs="Times New Roman" w:eastAsia="Times New Roman" w:hAnsi="Times New Roman"/>
          <w:sz w:val="20"/>
          <w:szCs w:val="20"/>
          <w:color w:val="auto"/>
        </w:rPr>
      </w:pPr>
    </w:p>
    <w:p>
      <w:pPr>
        <w:jc w:val="both"/>
        <w:ind w:left="620" w:hanging="618"/>
        <w:spacing w:after="0" w:line="262" w:lineRule="auto"/>
        <w:tabs>
          <w:tab w:leader="none" w:pos="61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Verification of Employment. </w:t>
      </w:r>
      <w:r>
        <w:rPr>
          <w:rFonts w:ascii="Times New Roman" w:cs="Times New Roman" w:eastAsia="Times New Roman" w:hAnsi="Times New Roman"/>
          <w:sz w:val="20"/>
          <w:szCs w:val="20"/>
          <w:color w:val="auto"/>
        </w:rPr>
        <w:t>Executive agrees to refer prospective employers or others seeking verification of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to the Company’s third party provider, The Work Number (1-800-367-5690 or http://www.theworknumber.com). The Work Number will verify Executive’s date of employment and job title only.</w:t>
      </w:r>
    </w:p>
    <w:p>
      <w:pPr>
        <w:spacing w:after="0" w:line="154"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Compensation and Benefits. </w:t>
      </w:r>
      <w:r>
        <w:rPr>
          <w:rFonts w:ascii="Times New Roman" w:cs="Times New Roman" w:eastAsia="Times New Roman" w:hAnsi="Times New Roman"/>
          <w:sz w:val="19"/>
          <w:szCs w:val="19"/>
          <w:color w:val="auto"/>
        </w:rPr>
        <w:t>Ross shall pay and provide Executive the compensation and benefits set forth in Sections 8(a)(i) through</w:t>
      </w:r>
    </w:p>
    <w:p>
      <w:pPr>
        <w:spacing w:after="0" w:line="42" w:lineRule="exact"/>
        <w:rPr>
          <w:rFonts w:ascii="Times New Roman" w:cs="Times New Roman" w:eastAsia="Times New Roman" w:hAnsi="Times New Roman"/>
          <w:sz w:val="19"/>
          <w:szCs w:val="19"/>
          <w:color w:val="auto"/>
        </w:rPr>
      </w:pPr>
    </w:p>
    <w:p>
      <w:pPr>
        <w:ind w:left="620" w:hanging="4"/>
        <w:spacing w:after="0" w:line="253" w:lineRule="auto"/>
        <w:tabs>
          <w:tab w:leader="none" w:pos="102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Executive Employment Agreement, dated ____________(“Executive Agreement”) in accordance with the terms of those Sections and subject to the provisions in Section 17 of the Executive Agreement regarding mitigation.</w:t>
      </w:r>
    </w:p>
    <w:p>
      <w:pPr>
        <w:spacing w:after="0" w:line="162" w:lineRule="exact"/>
        <w:rPr>
          <w:rFonts w:ascii="Times New Roman" w:cs="Times New Roman" w:eastAsia="Times New Roman" w:hAnsi="Times New Roman"/>
          <w:sz w:val="20"/>
          <w:szCs w:val="20"/>
          <w:color w:val="auto"/>
        </w:rPr>
      </w:pPr>
    </w:p>
    <w:p>
      <w:pPr>
        <w:jc w:val="both"/>
        <w:ind w:left="620" w:hanging="618"/>
        <w:spacing w:after="0" w:line="252" w:lineRule="auto"/>
        <w:tabs>
          <w:tab w:leader="none" w:pos="61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Release. </w:t>
      </w:r>
      <w:r>
        <w:rPr>
          <w:rFonts w:ascii="Times New Roman" w:cs="Times New Roman" w:eastAsia="Times New Roman" w:hAnsi="Times New Roman"/>
          <w:sz w:val="20"/>
          <w:szCs w:val="20"/>
          <w:color w:val="auto"/>
        </w:rPr>
        <w:t>In consideration for Ross’ promises herein, Executive knowingly and voluntarily releases and forever discharges Ross,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parent corporations, affiliates, subsidiaries, divisions, successors and assignees, as well as the current and former employees, attorneys, officers, directors and agents thereof of each (collectively referred to throughout the remainder of this Agreement as “Releasees”),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68" w:lineRule="exact"/>
        <w:rPr>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VII of the Civil Rights Act of 1964, as amended</w:t>
      </w:r>
    </w:p>
    <w:p>
      <w:pPr>
        <w:spacing w:after="0" w:line="22"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National Labor Relations Act,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Civil Rights Act of 1991</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1981 through 1988 of Title 42 of the United States Code,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Retirement Income Security Act of 1974,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Immigration Reform and Control Act, as amended</w:t>
      </w: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of 1990,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 Discrimination in Employment Act of 1967,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Workers Adjustment and Retraining Notification Act, as amended</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Occupational Safety and Health Act,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Sarbanes-Oxley Act of 2002</w:t>
      </w: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Equal Pay Act of 1963</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Family Rights Act - Cal. Govt. Code § 12945.2 et 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749935</wp:posOffset>
            </wp:positionV>
            <wp:extent cx="1527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749935</wp:posOffset>
            </wp:positionV>
            <wp:extent cx="1518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3" w:right="339" w:bottom="1440" w:gutter="0" w:footer="0" w:header="0"/>
        </w:sectPr>
      </w:pPr>
    </w:p>
    <w:bookmarkStart w:id="126" w:name="page127"/>
    <w:bookmarkEnd w:id="126"/>
    <w:p>
      <w:pPr>
        <w:spacing w:after="0" w:line="140" w:lineRule="exact"/>
        <w:rPr>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Fair Employment and Housing Act - Cal. Gov't Code § 12900 et seq.</w:t>
      </w:r>
    </w:p>
    <w:p>
      <w:pPr>
        <w:spacing w:after="0" w:line="22"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Provisions Regarding Retaliation/Discrimination for Filing a Workers’</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Claim - Cal. Lab. Code §132a (1) to (4)</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Provision Regarding Representations and Relocation of Employment (Cal. Lab. Code §970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Unruh Civil Rights Act - Civ. Code § 51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Sexual Orientation Bias Law - Cal. Lab. Code §1101 et seq.</w:t>
      </w: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AIDS Testing and Confidentiality Law - Cal. Health &amp; Safety Code §199.20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Confidentiality of Medical Information - Cal. Civ. Code §56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Smokers' Rights Law - Cal. Lab. Code §96</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Parental Leave Law - Cal. Lab. Code §230.7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Apprenticeship Program Bias Law - Cal. Lab. Code §3070 et seq.</w:t>
      </w: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Equal Pay Law - Cal. Lab. Code §1197.5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Whistleblower Protection Law - Cal. Lab. Code § 1102-5(a) to (c)</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Military Personnel Bias Law - Cal. Mil. &amp; Vet. Code §394 et seq.</w:t>
      </w: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Family and Medical Leave - Cal. Lab. Code §233</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Parental Leave for School Visits Law - Cal. Lab. Code §230.7 et seq.</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Electronic Monitoring of Employees - Cal. Lab. Code §435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Cal/OSHA law, as amended</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Consumer Reports: Discrimination Law - Cal. Civ. Code §1786.10 et seq.</w:t>
      </w: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Political Activities of Employees Act - Cal. Lab. Code §1101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Domestic Violence Victim Employment Leave Act - Cal. Lab. Code §230.1</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Voting Leave Law - Cal. Elec. Code §14350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Court Leave Law - Cal. Lab. Code §230</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Consumer Reports: Discrimination Law - Cal. Civ. Code §1786.10 et seq.</w:t>
      </w: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Political Activities of Employees Act - Cal. Lab. Code §1101 et seq.</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Domestic Violence Victim Employment Leave Act - Cal. Lab. Code §230.1</w:t>
      </w:r>
    </w:p>
    <w:p>
      <w:pPr>
        <w:spacing w:after="0" w:line="8"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Labor Code §§ 2698 and 2699</w:t>
      </w:r>
    </w:p>
    <w:p>
      <w:pPr>
        <w:spacing w:after="0" w:line="4" w:lineRule="exact"/>
        <w:rPr>
          <w:rFonts w:ascii="Times New Roman" w:cs="Times New Roman" w:eastAsia="Times New Roman" w:hAnsi="Times New Roman"/>
          <w:sz w:val="20"/>
          <w:szCs w:val="20"/>
          <w:color w:val="auto"/>
        </w:rPr>
      </w:pPr>
    </w:p>
    <w:p>
      <w:pPr>
        <w:ind w:left="260" w:hanging="258"/>
        <w:spacing w:after="0"/>
        <w:tabs>
          <w:tab w:leader="none" w:pos="26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as amended and any other federal, state or local civil or human rights law or any other local, state or federal law, regulation or ordinance</w:t>
      </w:r>
    </w:p>
    <w:p>
      <w:pPr>
        <w:spacing w:after="0" w:line="20" w:lineRule="exact"/>
        <w:rPr>
          <w:rFonts w:ascii="Times New Roman" w:cs="Times New Roman" w:eastAsia="Times New Roman" w:hAnsi="Times New Roman"/>
          <w:sz w:val="19"/>
          <w:szCs w:val="19"/>
          <w:color w:val="auto"/>
        </w:rPr>
      </w:pP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public policy, contract, tort, or common law, or</w:t>
      </w:r>
    </w:p>
    <w:p>
      <w:pPr>
        <w:ind w:left="260" w:hanging="258"/>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costs, fees, or other expenses including attorneys’ fees incurred in these matters</w:t>
      </w:r>
    </w:p>
    <w:p>
      <w:pPr>
        <w:spacing w:after="0" w:line="22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20"/>
          <w:szCs w:val="20"/>
          <w:color w:val="auto"/>
        </w:rPr>
        <w:t>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rFonts w:ascii="Times New Roman" w:cs="Times New Roman" w:eastAsia="Times New Roman" w:hAnsi="Times New Roman"/>
          <w:sz w:val="20"/>
          <w:szCs w:val="20"/>
          <w:b w:val="1"/>
          <w:bCs w:val="1"/>
          <w:color w:val="auto"/>
        </w:rPr>
        <w:t>A general release does not extend to claims that the creditor or releasing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 does not know 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0"/>
          <w:szCs w:val="20"/>
          <w:color w:val="auto"/>
        </w:rPr>
        <w:t>." You hereby expressly waive and relinquish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rights and benefits under that section and any law of any jurisdiction of similar effect with respect to the release of any unknown or unsuspected claims you may have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591185</wp:posOffset>
            </wp:positionV>
            <wp:extent cx="1527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591185</wp:posOffset>
            </wp:positionV>
            <wp:extent cx="15189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27" w:name="page128"/>
    <w:bookmarkEnd w:id="127"/>
    <w:p>
      <w:pPr>
        <w:ind w:left="620" w:hanging="618"/>
        <w:spacing w:after="0" w:line="272" w:lineRule="auto"/>
        <w:tabs>
          <w:tab w:leader="none" w:pos="61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Filed Claims. </w:t>
      </w:r>
      <w:r>
        <w:rPr>
          <w:rFonts w:ascii="Times New Roman" w:cs="Times New Roman" w:eastAsia="Times New Roman" w:hAnsi="Times New Roman"/>
          <w:sz w:val="20"/>
          <w:szCs w:val="20"/>
          <w:color w:val="auto"/>
        </w:rPr>
        <w:t>Executive represents that, prior to Executive’s execution of this Agreement, Executive did not file any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or lawsuit against any of the Releasees with any court or regulatory agency or in any arbitral forum.</w:t>
      </w:r>
    </w:p>
    <w:p>
      <w:pPr>
        <w:spacing w:after="0" w:line="156" w:lineRule="exact"/>
        <w:rPr>
          <w:rFonts w:ascii="Times New Roman" w:cs="Times New Roman" w:eastAsia="Times New Roman" w:hAnsi="Times New Roman"/>
          <w:sz w:val="20"/>
          <w:szCs w:val="20"/>
          <w:color w:val="auto"/>
        </w:rPr>
      </w:pPr>
    </w:p>
    <w:p>
      <w:pPr>
        <w:jc w:val="both"/>
        <w:ind w:left="620" w:hanging="618"/>
        <w:spacing w:after="0" w:line="261" w:lineRule="auto"/>
        <w:tabs>
          <w:tab w:leader="none" w:pos="614"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Participation/Communication Rights and Obligations. </w:t>
      </w:r>
      <w:r>
        <w:rPr>
          <w:rFonts w:ascii="Times New Roman" w:cs="Times New Roman" w:eastAsia="Times New Roman" w:hAnsi="Times New Roman"/>
          <w:sz w:val="19"/>
          <w:szCs w:val="19"/>
          <w:color w:val="auto"/>
        </w:rPr>
        <w:t>Nothing in this Agreement precludes Executive from filing a charge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To the fullest extent permitted by law, Executive hereby agrees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6" w:lineRule="exact"/>
        <w:rPr>
          <w:rFonts w:ascii="Times New Roman" w:cs="Times New Roman" w:eastAsia="Times New Roman" w:hAnsi="Times New Roman"/>
          <w:sz w:val="19"/>
          <w:szCs w:val="19"/>
          <w:color w:val="auto"/>
        </w:rPr>
      </w:pPr>
    </w:p>
    <w:p>
      <w:pPr>
        <w:jc w:val="both"/>
        <w:ind w:left="620" w:hanging="618"/>
        <w:spacing w:after="0" w:line="259" w:lineRule="auto"/>
        <w:tabs>
          <w:tab w:leader="none" w:pos="61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Other Compensation or Benefits. </w:t>
      </w:r>
      <w:r>
        <w:rPr>
          <w:rFonts w:ascii="Times New Roman" w:cs="Times New Roman" w:eastAsia="Times New Roman" w:hAnsi="Times New Roman"/>
          <w:sz w:val="20"/>
          <w:szCs w:val="20"/>
          <w:color w:val="auto"/>
        </w:rPr>
        <w:t>Executive affirms that Executive has been paid and/or has received all leave (paid or unpaid),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158" w:lineRule="exact"/>
        <w:rPr>
          <w:rFonts w:ascii="Times New Roman" w:cs="Times New Roman" w:eastAsia="Times New Roman" w:hAnsi="Times New Roman"/>
          <w:sz w:val="20"/>
          <w:szCs w:val="20"/>
          <w:color w:val="auto"/>
        </w:rPr>
      </w:pPr>
    </w:p>
    <w:p>
      <w:pPr>
        <w:jc w:val="both"/>
        <w:ind w:left="620" w:hanging="618"/>
        <w:spacing w:after="0" w:line="250" w:lineRule="auto"/>
        <w:tabs>
          <w:tab w:leader="none" w:pos="61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Acknowledgements Regarding Employment Matters. </w:t>
      </w:r>
      <w:r>
        <w:rPr>
          <w:rFonts w:ascii="Times New Roman" w:cs="Times New Roman" w:eastAsia="Times New Roman" w:hAnsi="Times New Roman"/>
          <w:sz w:val="20"/>
          <w:szCs w:val="20"/>
          <w:color w:val="auto"/>
        </w:rPr>
        <w:t>The Executive affirms that Executive has no known workplace injuries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occupational diseases and has been provided and/or has 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581660</wp:posOffset>
            </wp:positionV>
            <wp:extent cx="1527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581660</wp:posOffset>
            </wp:positionV>
            <wp:extent cx="15189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46" w:right="339" w:bottom="1440" w:gutter="0" w:footer="0" w:header="0"/>
        </w:sectPr>
      </w:pPr>
    </w:p>
    <w:bookmarkStart w:id="128" w:name="page129"/>
    <w:bookmarkEnd w:id="128"/>
    <w:p>
      <w:pPr>
        <w:jc w:val="both"/>
        <w:ind w:left="620" w:hanging="618"/>
        <w:spacing w:after="0" w:line="250" w:lineRule="auto"/>
        <w:tabs>
          <w:tab w:leader="none" w:pos="61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Restrictive Covenants. </w:t>
      </w:r>
      <w:r>
        <w:rPr>
          <w:rFonts w:ascii="Times New Roman" w:cs="Times New Roman" w:eastAsia="Times New Roman" w:hAnsi="Times New Roman"/>
          <w:sz w:val="20"/>
          <w:szCs w:val="20"/>
          <w:color w:val="auto"/>
        </w:rPr>
        <w:t>The parties expressly acknowledge that those certain employment obligations set forth in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specifically the non-solicitation of employees provisions in Section 9(b), the non-solicitation of third parties provisions in Section 9(c), and the non-disparagement provisions in Section 9(d) of the Executive Agreement, shall remain in full force and effect for the time period(s) specified in those provisions. To the extent applicable law considers the reason for termination in determining whether to enforce the employment obligations in Sections 9(b) or (c),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w:t>
      </w:r>
    </w:p>
    <w:p>
      <w:pPr>
        <w:spacing w:after="0" w:line="168" w:lineRule="exact"/>
        <w:rPr>
          <w:rFonts w:ascii="Times New Roman" w:cs="Times New Roman" w:eastAsia="Times New Roman" w:hAnsi="Times New Roman"/>
          <w:sz w:val="20"/>
          <w:szCs w:val="20"/>
          <w:color w:val="auto"/>
        </w:rPr>
      </w:pPr>
    </w:p>
    <w:p>
      <w:pPr>
        <w:jc w:val="both"/>
        <w:ind w:left="620" w:hanging="618"/>
        <w:spacing w:after="0" w:line="263" w:lineRule="auto"/>
        <w:tabs>
          <w:tab w:leader="none" w:pos="609"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Return of Documents, Material, Information and Property. </w:t>
      </w:r>
      <w:r>
        <w:rPr>
          <w:rFonts w:ascii="Times New Roman" w:cs="Times New Roman" w:eastAsia="Times New Roman" w:hAnsi="Times New Roman"/>
          <w:sz w:val="19"/>
          <w:szCs w:val="19"/>
          <w:color w:val="auto"/>
        </w:rPr>
        <w:t>By no later than the Separation Date, Executive agrees to return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 learned in the course and scope of Executive’s employment (“Company Property”). Executive represents that Executive has made a diligent search to locate any such documents, property and information, and that Executive has permanently deleted and expunged all Ross 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 party and will not do so in the future.</w:t>
      </w:r>
    </w:p>
    <w:p>
      <w:pPr>
        <w:spacing w:after="0" w:line="154" w:lineRule="exact"/>
        <w:rPr>
          <w:rFonts w:ascii="Times New Roman" w:cs="Times New Roman" w:eastAsia="Times New Roman" w:hAnsi="Times New Roman"/>
          <w:sz w:val="19"/>
          <w:szCs w:val="19"/>
          <w:color w:val="auto"/>
        </w:rPr>
      </w:pPr>
    </w:p>
    <w:p>
      <w:pPr>
        <w:jc w:val="both"/>
        <w:ind w:left="620" w:hanging="618"/>
        <w:spacing w:after="0" w:line="250" w:lineRule="auto"/>
        <w:tabs>
          <w:tab w:leader="none" w:pos="60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Executive further agrees to be available as needed and fully cooperate with Ross in defending any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 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ensure a smooth transition of responsibilities and to minimize any adverse consequences of Executive’s departure.</w:t>
      </w:r>
    </w:p>
    <w:p>
      <w:pPr>
        <w:spacing w:after="0" w:line="171" w:lineRule="exact"/>
        <w:rPr>
          <w:rFonts w:ascii="Times New Roman" w:cs="Times New Roman" w:eastAsia="Times New Roman" w:hAnsi="Times New Roman"/>
          <w:sz w:val="20"/>
          <w:szCs w:val="20"/>
          <w:color w:val="auto"/>
        </w:rPr>
      </w:pPr>
    </w:p>
    <w:p>
      <w:pPr>
        <w:jc w:val="both"/>
        <w:ind w:left="620" w:hanging="618"/>
        <w:spacing w:after="0" w:line="262" w:lineRule="auto"/>
        <w:tabs>
          <w:tab w:leader="none" w:pos="60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Confidentiality. </w:t>
      </w:r>
      <w:r>
        <w:rPr>
          <w:rFonts w:ascii="Times New Roman" w:cs="Times New Roman" w:eastAsia="Times New Roman" w:hAnsi="Times New Roman"/>
          <w:sz w:val="20"/>
          <w:szCs w:val="20"/>
          <w:color w:val="auto"/>
        </w:rPr>
        <w:t>Executive agrees that this is a private agreement and that Executive will not disclose or discuss the fact that it exists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discuss or disclose its terms with anyone other than Executive’s spouse, attorney, and accountant, or as required by law. Further, nothing in this Agreement shall limit the Executive’s right to disclose factual information related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567055</wp:posOffset>
            </wp:positionV>
            <wp:extent cx="1527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567055</wp:posOffset>
            </wp:positionV>
            <wp:extent cx="15189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46" w:right="339" w:bottom="1440" w:gutter="0" w:footer="0" w:header="0"/>
        </w:sectPr>
      </w:pPr>
    </w:p>
    <w:bookmarkStart w:id="129" w:name="page130"/>
    <w:bookmarkEnd w:id="129"/>
    <w:p>
      <w:pPr>
        <w:ind w:left="620"/>
        <w:spacing w:after="0" w:line="268" w:lineRule="auto"/>
        <w:rPr>
          <w:sz w:val="20"/>
          <w:szCs w:val="20"/>
          <w:color w:val="auto"/>
        </w:rPr>
      </w:pPr>
      <w:r>
        <w:rPr>
          <w:rFonts w:ascii="Times New Roman" w:cs="Times New Roman" w:eastAsia="Times New Roman" w:hAnsi="Times New Roman"/>
          <w:sz w:val="20"/>
          <w:szCs w:val="20"/>
          <w:color w:val="auto"/>
        </w:rPr>
        <w:t>claim filed in a civil action or an administrative action regarding sexual assault, sexual harassment, harassment, discrimination or retaliation.</w:t>
      </w:r>
    </w:p>
    <w:p>
      <w:pPr>
        <w:spacing w:after="0" w:line="160" w:lineRule="exact"/>
        <w:rPr>
          <w:sz w:val="20"/>
          <w:szCs w:val="20"/>
          <w:color w:val="auto"/>
        </w:rPr>
      </w:pPr>
    </w:p>
    <w:p>
      <w:pPr>
        <w:jc w:val="both"/>
        <w:ind w:left="620" w:hanging="618"/>
        <w:spacing w:after="0" w:line="251"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Except as required by law, Executive agrees not to make, publish or issue, or cause to be made, published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any untrue, disparaging or derogatory statements concerning the Company or any Releasee. Nothing in this Agreement prevents the Executive from discussing or disclosing information about unlawful acts in the workplace, such as sexual harassment, sexual assault, or discrimination or any other conduct that the Executive has reason to believe is unlawful, or otherwise restricts or impedes the Executive from exercising protected rights as permitted by applicable law.</w:t>
      </w:r>
    </w:p>
    <w:p>
      <w:pPr>
        <w:spacing w:after="0" w:line="178"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Medicare Representation. </w:t>
      </w:r>
      <w:r>
        <w:rPr>
          <w:rFonts w:ascii="Times New Roman" w:cs="Times New Roman" w:eastAsia="Times New Roman" w:hAnsi="Times New Roman"/>
          <w:sz w:val="20"/>
          <w:szCs w:val="20"/>
          <w:color w:val="auto"/>
        </w:rPr>
        <w:t>Executive warrants that Executive is not a Medicare beneficiary as of the date of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no conditional payments are required to be made to Medicare.</w:t>
      </w:r>
    </w:p>
    <w:p>
      <w:pPr>
        <w:spacing w:after="0" w:line="156" w:lineRule="exact"/>
        <w:rPr>
          <w:rFonts w:ascii="Times New Roman" w:cs="Times New Roman" w:eastAsia="Times New Roman" w:hAnsi="Times New Roman"/>
          <w:sz w:val="20"/>
          <w:szCs w:val="20"/>
          <w:color w:val="auto"/>
        </w:rPr>
      </w:pPr>
    </w:p>
    <w:p>
      <w:pPr>
        <w:jc w:val="both"/>
        <w:ind w:left="620" w:hanging="618"/>
        <w:spacing w:after="0" w:line="248"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 Code Section 409A. </w:t>
      </w:r>
      <w:r>
        <w:rPr>
          <w:rFonts w:ascii="Times New Roman" w:cs="Times New Roman" w:eastAsia="Times New Roman" w:hAnsi="Times New Roman"/>
          <w:sz w:val="20"/>
          <w:szCs w:val="20"/>
          <w:color w:val="auto"/>
        </w:rPr>
        <w:t>This Agreement is intended to comply with Section 409A of the Internal Revenue Code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83" w:lineRule="exact"/>
        <w:rPr>
          <w:rFonts w:ascii="Times New Roman" w:cs="Times New Roman" w:eastAsia="Times New Roman" w:hAnsi="Times New Roman"/>
          <w:sz w:val="20"/>
          <w:szCs w:val="20"/>
          <w:color w:val="auto"/>
        </w:rPr>
      </w:pPr>
    </w:p>
    <w:p>
      <w:pPr>
        <w:jc w:val="both"/>
        <w:ind w:left="620" w:hanging="618"/>
        <w:spacing w:after="0" w:line="256"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Forum Selection. </w:t>
      </w:r>
      <w:r>
        <w:rPr>
          <w:rFonts w:ascii="Times New Roman" w:cs="Times New Roman" w:eastAsia="Times New Roman" w:hAnsi="Times New Roman"/>
          <w:sz w:val="20"/>
          <w:szCs w:val="20"/>
          <w:color w:val="auto"/>
        </w:rPr>
        <w:t>Any action arising out of this Agreement or an alleged breach of this Agreement shall be brought only in the County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Alameda in the State of California. Unless otherwise ordered, only the provisions of this Agreement in dispute or alleged to have been breached shall be disclosed in any such action.</w:t>
      </w:r>
    </w:p>
    <w:p>
      <w:pPr>
        <w:spacing w:after="0" w:line="172"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Applicable Law. </w:t>
      </w:r>
      <w:r>
        <w:rPr>
          <w:rFonts w:ascii="Times New Roman" w:cs="Times New Roman" w:eastAsia="Times New Roman" w:hAnsi="Times New Roman"/>
          <w:sz w:val="20"/>
          <w:szCs w:val="20"/>
          <w:color w:val="auto"/>
        </w:rPr>
        <w:t>This Agreement shall be governed, interpreted and enforced in accordance with the laws of the State of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regard to its conflict or choice of law provisions.</w:t>
      </w:r>
    </w:p>
    <w:p>
      <w:pPr>
        <w:spacing w:after="0" w:line="156"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part of this Agreement is found to be invalid or unenforceable, the remaining parts of the Agreement will remain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effect as if no invalid or unenforceable part existed.</w:t>
      </w:r>
    </w:p>
    <w:p>
      <w:pPr>
        <w:spacing w:after="0" w:line="143" w:lineRule="exact"/>
        <w:rPr>
          <w:rFonts w:ascii="Times New Roman" w:cs="Times New Roman" w:eastAsia="Times New Roman" w:hAnsi="Times New Roman"/>
          <w:sz w:val="20"/>
          <w:szCs w:val="20"/>
          <w:color w:val="auto"/>
        </w:rPr>
      </w:pPr>
    </w:p>
    <w:p>
      <w:pPr>
        <w:jc w:val="both"/>
        <w:ind w:left="620" w:hanging="618"/>
        <w:spacing w:after="0" w:line="254" w:lineRule="auto"/>
        <w:tabs>
          <w:tab w:leader="none" w:pos="60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sets forth the entire agreement between the parties hereto, and fully supersedes all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 Options Following Termination), Section 13 (Insurance and Indemnity) and Section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572770</wp:posOffset>
            </wp:positionV>
            <wp:extent cx="1527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572770</wp:posOffset>
            </wp:positionV>
            <wp:extent cx="15189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50" w:right="339" w:bottom="1440" w:gutter="0" w:footer="0" w:header="0"/>
        </w:sectPr>
      </w:pPr>
    </w:p>
    <w:bookmarkStart w:id="130" w:name="page131"/>
    <w:bookmarkEnd w:id="130"/>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(Mitigation), and Section 19 (Arbitration) and the “Arbitration Agreement” referenced therein,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180" w:lineRule="exact"/>
        <w:rPr>
          <w:sz w:val="20"/>
          <w:szCs w:val="20"/>
          <w:color w:val="auto"/>
        </w:rPr>
      </w:pPr>
    </w:p>
    <w:p>
      <w:pPr>
        <w:jc w:val="both"/>
        <w:ind w:left="620" w:hanging="618"/>
        <w:spacing w:after="0" w:line="262" w:lineRule="auto"/>
        <w:tabs>
          <w:tab w:leader="none" w:pos="60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 counterparts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shall constitute one agreement binding on all of the parties hereto. The Agreement may be signed and transmitted electronically, and such signatures shall be binding and deemed originals for purposes of enforcing this Agreement.</w:t>
      </w:r>
    </w:p>
    <w:p>
      <w:pPr>
        <w:spacing w:after="0" w:line="154"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Advice of Counsel. </w:t>
      </w:r>
      <w:r>
        <w:rPr>
          <w:rFonts w:ascii="Times New Roman" w:cs="Times New Roman" w:eastAsia="Times New Roman" w:hAnsi="Times New Roman"/>
          <w:sz w:val="20"/>
          <w:szCs w:val="20"/>
          <w:color w:val="auto"/>
        </w:rPr>
        <w:t>Executive is advised to discuss this Agreement with an attorney of Executive’s choice and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has been given ample opportunity to do so and has, in fact, done so.</w:t>
      </w:r>
    </w:p>
    <w:p>
      <w:pPr>
        <w:spacing w:after="0" w:line="156" w:lineRule="exact"/>
        <w:rPr>
          <w:rFonts w:ascii="Times New Roman" w:cs="Times New Roman" w:eastAsia="Times New Roman" w:hAnsi="Times New Roman"/>
          <w:sz w:val="20"/>
          <w:szCs w:val="20"/>
          <w:color w:val="auto"/>
        </w:rPr>
      </w:pPr>
    </w:p>
    <w:p>
      <w:pPr>
        <w:ind w:left="620" w:hanging="618"/>
        <w:spacing w:after="0" w:line="272" w:lineRule="auto"/>
        <w:tabs>
          <w:tab w:leader="none" w:pos="60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Knowing and Voluntary. </w:t>
      </w:r>
      <w:r>
        <w:rPr>
          <w:rFonts w:ascii="Times New Roman" w:cs="Times New Roman" w:eastAsia="Times New Roman" w:hAnsi="Times New Roman"/>
          <w:sz w:val="20"/>
          <w:szCs w:val="20"/>
          <w:color w:val="auto"/>
        </w:rPr>
        <w:t>Executive acknowledges that Executive is entering into this Agreement freely, knowingly and voluntarily,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duress or coercion, and with a full understanding of its terms. Executive further acknowledges that Executive</w:t>
      </w:r>
    </w:p>
    <w:p>
      <w:pPr>
        <w:spacing w:after="0" w:line="147"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carefully read and understands this Agreement;</w:t>
      </w:r>
    </w:p>
    <w:p>
      <w:pPr>
        <w:spacing w:after="0" w:line="217" w:lineRule="exact"/>
        <w:rPr>
          <w:rFonts w:ascii="Times New Roman" w:cs="Times New Roman" w:eastAsia="Times New Roman" w:hAnsi="Times New Roman"/>
          <w:sz w:val="20"/>
          <w:szCs w:val="20"/>
          <w:color w:val="auto"/>
        </w:rPr>
      </w:pPr>
    </w:p>
    <w:p>
      <w:pPr>
        <w:ind w:left="1240" w:hanging="624"/>
        <w:spacing w:after="0" w:line="260" w:lineRule="auto"/>
        <w:tabs>
          <w:tab w:leader="none" w:pos="1053"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through this Agreement, releasing Ross from any and all claims Executive may have against it that have arisen prior to or as of the date of this Agreement, including but not limited to, rights or claims arising under the Age Discrimination in Employment Act of 1967;</w:t>
      </w:r>
    </w:p>
    <w:p>
      <w:pPr>
        <w:spacing w:after="0" w:line="160"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agrees to all of the terms set forth in this Agreement; and</w:t>
      </w:r>
    </w:p>
    <w:p>
      <w:pPr>
        <w:spacing w:after="0" w:line="204" w:lineRule="exact"/>
        <w:rPr>
          <w:rFonts w:ascii="Times New Roman" w:cs="Times New Roman" w:eastAsia="Times New Roman" w:hAnsi="Times New Roman"/>
          <w:sz w:val="20"/>
          <w:szCs w:val="20"/>
          <w:color w:val="auto"/>
        </w:rPr>
      </w:pPr>
    </w:p>
    <w:p>
      <w:pPr>
        <w:ind w:left="1040" w:hanging="424"/>
        <w:spacing w:after="0"/>
        <w:tabs>
          <w:tab w:leader="none" w:pos="104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intends to be legally bound by the terms of this Agreement;</w:t>
      </w:r>
    </w:p>
    <w:p>
      <w:pPr>
        <w:spacing w:after="0" w:line="218" w:lineRule="exact"/>
        <w:rPr>
          <w:sz w:val="20"/>
          <w:szCs w:val="20"/>
          <w:color w:val="auto"/>
        </w:rPr>
      </w:pPr>
    </w:p>
    <w:p>
      <w:pPr>
        <w:ind w:left="620"/>
        <w:spacing w:after="0" w:line="268" w:lineRule="auto"/>
        <w:rPr>
          <w:sz w:val="20"/>
          <w:szCs w:val="20"/>
          <w:color w:val="auto"/>
        </w:rPr>
      </w:pPr>
      <w:r>
        <w:rPr>
          <w:rFonts w:ascii="Times New Roman" w:cs="Times New Roman" w:eastAsia="Times New Roman" w:hAnsi="Times New Roman"/>
          <w:sz w:val="20"/>
          <w:szCs w:val="20"/>
          <w:color w:val="auto"/>
        </w:rPr>
        <w:t>The following subparagraphs shall be applicable only if Executive is forty years of age or older at the time Executive signs this Agreement.</w:t>
      </w:r>
    </w:p>
    <w:p>
      <w:pPr>
        <w:spacing w:after="0" w:line="164" w:lineRule="exact"/>
        <w:rPr>
          <w:sz w:val="20"/>
          <w:szCs w:val="20"/>
          <w:color w:val="auto"/>
        </w:rPr>
      </w:pPr>
    </w:p>
    <w:p>
      <w:pPr>
        <w:ind w:left="1240" w:hanging="624"/>
        <w:spacing w:after="0" w:line="254" w:lineRule="auto"/>
        <w:tabs>
          <w:tab w:leader="none" w:pos="1077"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177" w:lineRule="exact"/>
        <w:rPr>
          <w:rFonts w:ascii="Times New Roman" w:cs="Times New Roman" w:eastAsia="Times New Roman" w:hAnsi="Times New Roman"/>
          <w:sz w:val="20"/>
          <w:szCs w:val="20"/>
          <w:color w:val="auto"/>
        </w:rPr>
      </w:pPr>
    </w:p>
    <w:p>
      <w:pPr>
        <w:ind w:left="1240" w:hanging="624"/>
        <w:spacing w:after="0" w:line="268" w:lineRule="auto"/>
        <w:tabs>
          <w:tab w:leader="none" w:pos="101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a full seven (7) days following the execution of this Agreement to revoke this Agreement (the “Revocation Period") by providing written revocation notice to the Company’s General Counsel or such other person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561975</wp:posOffset>
            </wp:positionV>
            <wp:extent cx="1527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561975</wp:posOffset>
            </wp:positionV>
            <wp:extent cx="15189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50" w:right="339" w:bottom="1440" w:gutter="0" w:footer="0" w:header="0"/>
        </w:sectPr>
      </w:pPr>
    </w:p>
    <w:bookmarkStart w:id="131" w:name="page132"/>
    <w:bookmarkEnd w:id="131"/>
    <w:p>
      <w:pPr>
        <w:jc w:val="both"/>
        <w:ind w:left="1220"/>
        <w:spacing w:after="0" w:line="280" w:lineRule="auto"/>
        <w:rPr>
          <w:sz w:val="20"/>
          <w:szCs w:val="20"/>
          <w:color w:val="auto"/>
        </w:rPr>
      </w:pPr>
      <w:r>
        <w:rPr>
          <w:rFonts w:ascii="Times New Roman" w:cs="Times New Roman" w:eastAsia="Times New Roman" w:hAnsi="Times New Roman"/>
          <w:sz w:val="19"/>
          <w:szCs w:val="19"/>
          <w:color w:val="auto"/>
        </w:rPr>
        <w:t>designates. The revocation must be personally delivered or mailed to the General Counsel or such other person as the Company designates at 5130 Hacienda Dr., Dublin, CA 94568 and postmarked within seven (7) calendar days of Executive’s execution of this Agreement. This Agreement shall not become effective or enforceable until the Revocation Period has expired.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hereto knowingly and voluntarily executed this Agreement as of the date set forth below:</w:t>
      </w:r>
    </w:p>
    <w:p>
      <w:pPr>
        <w:sectPr>
          <w:pgSz w:w="11900" w:h="16838" w:orient="portrait"/>
          <w:cols w:equalWidth="0" w:num="1">
            <w:col w:w="11220"/>
          </w:cols>
          <w:pgMar w:left="340" w:top="1350" w:right="339" w:bottom="1440" w:gutter="0" w:footer="0" w:header="0"/>
        </w:sect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ectPr>
          <w:pgSz w:w="11900" w:h="16838" w:orient="portrait"/>
          <w:cols w:equalWidth="0" w:num="2">
            <w:col w:w="5280" w:space="720"/>
            <w:col w:w="5220"/>
          </w:cols>
          <w:pgMar w:left="340" w:top="13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Ross Stores, Inc. and its Subsidiaries</w:t>
      </w:r>
    </w:p>
    <w:p>
      <w:pPr>
        <w:spacing w:after="0" w:line="51" w:lineRule="exact"/>
        <w:rPr>
          <w:sz w:val="20"/>
          <w:szCs w:val="20"/>
          <w:color w:val="auto"/>
        </w:rPr>
      </w:pPr>
    </w:p>
    <w:p>
      <w:pPr>
        <w:sectPr>
          <w:pgSz w:w="11900" w:h="16838" w:orient="portrait"/>
          <w:cols w:equalWidth="0" w:num="2">
            <w:col w:w="5280" w:space="720"/>
            <w:col w:w="5220"/>
          </w:cols>
          <w:pgMar w:left="340" w:top="1350" w:right="339" w:bottom="1440" w:gutter="0" w:footer="0" w:header="0"/>
          <w:type w:val="continuous"/>
        </w:sectPr>
      </w:pPr>
    </w:p>
    <w:p>
      <w:pPr>
        <w:ind w:left="6360"/>
        <w:spacing w:after="0"/>
        <w:rPr>
          <w:sz w:val="20"/>
          <w:szCs w:val="20"/>
          <w:color w:val="auto"/>
        </w:rPr>
      </w:pPr>
      <w:r>
        <w:rPr>
          <w:rFonts w:ascii="Times New Roman" w:cs="Times New Roman" w:eastAsia="Times New Roman" w:hAnsi="Times New Roman"/>
          <w:sz w:val="20"/>
          <w:szCs w:val="20"/>
          <w:color w:val="auto"/>
        </w:rPr>
        <w: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685800</wp:posOffset>
            </wp:positionV>
            <wp:extent cx="1527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5271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685800</wp:posOffset>
            </wp:positionV>
            <wp:extent cx="15189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ectPr>
          <w:pgSz w:w="11900" w:h="16838" w:orient="portrait"/>
          <w:cols w:equalWidth="0" w:num="1">
            <w:col w:w="11220"/>
          </w:cols>
          <w:pgMar w:left="340" w:top="13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9"/>
          <w:szCs w:val="19"/>
          <w:color w:val="auto"/>
        </w:rPr>
        <w:t>Executive's Initials</w:t>
      </w:r>
      <w:r>
        <w:rPr>
          <w:sz w:val="20"/>
          <w:szCs w:val="20"/>
          <w:color w:val="auto"/>
        </w:rPr>
        <w:tab/>
      </w:r>
      <w:r>
        <w:rPr>
          <w:rFonts w:ascii="Times New Roman" w:cs="Times New Roman" w:eastAsia="Times New Roman" w:hAnsi="Times New Roman"/>
          <w:sz w:val="18"/>
          <w:szCs w:val="18"/>
          <w:color w:val="auto"/>
        </w:rPr>
        <w:t>Ross' Initials</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40" w:top="1350" w:right="339" w:bottom="1440" w:gutter="0" w:footer="0" w:header="0"/>
          <w:type w:val="continuous"/>
        </w:sectPr>
      </w:pPr>
    </w:p>
    <w:bookmarkStart w:id="132" w:name="page133"/>
    <w:bookmarkEnd w:id="132"/>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0" w:lineRule="exact"/>
        <w:rPr>
          <w:sz w:val="20"/>
          <w:szCs w:val="20"/>
          <w:color w:val="auto"/>
        </w:rPr>
      </w:pPr>
    </w:p>
    <w:p>
      <w:pPr>
        <w:spacing w:after="0" w:line="235"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effective</w:t>
      </w:r>
      <w:r>
        <w:rPr>
          <w:rFonts w:ascii="Times New Roman" w:cs="Times New Roman" w:eastAsia="Times New Roman" w:hAnsi="Times New Roman"/>
          <w:sz w:val="20"/>
          <w:szCs w:val="20"/>
          <w:b w:val="1"/>
          <w:bCs w:val="1"/>
          <w:color w:val="auto"/>
        </w:rPr>
        <w:t xml:space="preserve"> March 16, 2026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by and between Ross Stores, Inc., a Delaware corporation, and </w:t>
      </w:r>
      <w:r>
        <w:rPr>
          <w:rFonts w:ascii="Times New Roman" w:cs="Times New Roman" w:eastAsia="Times New Roman" w:hAnsi="Times New Roman"/>
          <w:sz w:val="20"/>
          <w:szCs w:val="20"/>
          <w:b w:val="1"/>
          <w:bCs w:val="1"/>
          <w:color w:val="auto"/>
        </w:rPr>
        <w:t>Karen Fleming</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References herein 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Ross Stores, Inc. and, where appropriate, Ross Stores, Inc. and each and any of its divisions, affiliates or subsidiaries.</w:t>
      </w:r>
    </w:p>
    <w:p>
      <w:pPr>
        <w:spacing w:after="0" w:line="1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8" w:lineRule="exact"/>
        <w:rPr>
          <w:sz w:val="20"/>
          <w:szCs w:val="20"/>
          <w:color w:val="auto"/>
        </w:rPr>
      </w:pPr>
    </w:p>
    <w:p>
      <w:pPr>
        <w:ind w:firstLine="615"/>
        <w:spacing w:after="0" w:line="272" w:lineRule="auto"/>
        <w:tabs>
          <w:tab w:leader="none" w:pos="122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wishes to employ the Executive, and the Executive is willing to accept such employment, as </w:t>
      </w:r>
      <w:r>
        <w:rPr>
          <w:rFonts w:ascii="Times New Roman" w:cs="Times New Roman" w:eastAsia="Times New Roman" w:hAnsi="Times New Roman"/>
          <w:sz w:val="20"/>
          <w:szCs w:val="20"/>
          <w:b w:val="1"/>
          <w:bCs w:val="1"/>
          <w:color w:val="auto"/>
        </w:rPr>
        <w:t>President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Chief Merchandising Officer, Ross Dress for Less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615"/>
        <w:spacing w:after="0" w:line="294" w:lineRule="auto"/>
        <w:tabs>
          <w:tab w:leader="none" w:pos="1227"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consideration for the promises of the parties set forth below, the Company and the Executive hereby agree as follows:</w:t>
      </w:r>
    </w:p>
    <w:p>
      <w:pPr>
        <w:spacing w:after="0" w:line="201" w:lineRule="exact"/>
        <w:rPr>
          <w:sz w:val="20"/>
          <w:szCs w:val="20"/>
          <w:color w:val="auto"/>
        </w:rPr>
      </w:pPr>
    </w:p>
    <w:p>
      <w:pPr>
        <w:ind w:firstLine="615"/>
        <w:spacing w:after="0" w:line="285" w:lineRule="auto"/>
        <w:tabs>
          <w:tab w:leader="none" w:pos="122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 the provisions of Section 6 of this Agreement, the term of employment of the Executive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shall be as follows:</w:t>
      </w:r>
    </w:p>
    <w:p>
      <w:pPr>
        <w:spacing w:after="0" w:line="29" w:lineRule="exact"/>
        <w:rPr>
          <w:rFonts w:ascii="Times New Roman" w:cs="Times New Roman" w:eastAsia="Times New Roman" w:hAnsi="Times New Roman"/>
          <w:sz w:val="20"/>
          <w:szCs w:val="20"/>
          <w:color w:val="auto"/>
        </w:rPr>
      </w:pPr>
    </w:p>
    <w:p>
      <w:pPr>
        <w:jc w:val="both"/>
        <w:ind w:firstLine="1229"/>
        <w:spacing w:after="0" w:line="262" w:lineRule="auto"/>
        <w:tabs>
          <w:tab w:leader="none" w:pos="1841"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initial term of employment of the Executive by the Company under this Agreement shall begin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on the Effective Date and end on </w:t>
      </w:r>
      <w:r>
        <w:rPr>
          <w:rFonts w:ascii="Times New Roman" w:cs="Times New Roman" w:eastAsia="Times New Roman" w:hAnsi="Times New Roman"/>
          <w:sz w:val="20"/>
          <w:szCs w:val="20"/>
          <w:b w:val="1"/>
          <w:bCs w:val="1"/>
          <w:color w:val="auto"/>
        </w:rPr>
        <w:t>March 31, 2030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unless extended or terminated earlier in accordance with this Agreement. The Initial Term plus any Extension (as defined in Section 1(c) hereof) thereof shall be the “</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jc w:val="both"/>
        <w:ind w:firstLine="1229"/>
        <w:spacing w:after="0" w:line="254" w:lineRule="auto"/>
        <w:tabs>
          <w:tab w:leader="none" w:pos="1839"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Extension Intent Notice. </w:t>
      </w:r>
      <w:r>
        <w:rPr>
          <w:rFonts w:ascii="Times New Roman" w:cs="Times New Roman" w:eastAsia="Times New Roman" w:hAnsi="Times New Roman"/>
          <w:sz w:val="20"/>
          <w:szCs w:val="20"/>
          <w:color w:val="auto"/>
        </w:rPr>
        <w:t>By December 31, 2027, the Executive shall advise the Chief Executive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(“CEO”) or the CEO’s designee whether the Executive would like the Term of Employment extended. If the Executive does not timely notify the Company of the Executive’s desire to extend (or not to extend) the Term of Employment, then such action shall be deemed to result in the Executive’s Voluntary Termination as of the Term of Employment end date unless the Company determines otherwise in its sole and absolute discretion.</w:t>
      </w:r>
    </w:p>
    <w:p>
      <w:pPr>
        <w:spacing w:after="0" w:line="164" w:lineRule="exact"/>
        <w:rPr>
          <w:rFonts w:ascii="Times New Roman" w:cs="Times New Roman" w:eastAsia="Times New Roman" w:hAnsi="Times New Roman"/>
          <w:sz w:val="20"/>
          <w:szCs w:val="20"/>
          <w:color w:val="auto"/>
        </w:rPr>
      </w:pPr>
    </w:p>
    <w:p>
      <w:pPr>
        <w:jc w:val="both"/>
        <w:ind w:firstLine="1229"/>
        <w:spacing w:after="0" w:line="252" w:lineRule="auto"/>
        <w:tabs>
          <w:tab w:leader="none" w:pos="1841"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New Agreement. </w:t>
      </w:r>
      <w:r>
        <w:rPr>
          <w:rFonts w:ascii="Times New Roman" w:cs="Times New Roman" w:eastAsia="Times New Roman" w:hAnsi="Times New Roman"/>
          <w:sz w:val="20"/>
          <w:szCs w:val="20"/>
          <w:color w:val="auto"/>
        </w:rPr>
        <w:t>Provided that, in accordance with Section 1(b) hereof, the Executive has timely notified the CEO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 CEO’s designee of the Executive’s desire to extend the Executive’s employment, the Company will consider whether to offer the Executive an extension under this Agreement or a new Employment Agreement. If the Company decides in its sole and absolute discretion to offer the Executive an extension or a new Employment Agreement, the Company will notify the Executive accordingly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not less than one hundred eighty (180) days prior to the expiration of the Term of Employment. If the Company timely provides an Extension Notice and the Executive and the Company enter into such extension (or a new Employment Agreement), the Initial Term hereof will be extended by such additional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40"/>
          </w:cols>
          <w:pgMar w:left="320" w:top="1167" w:right="639" w:bottom="1440" w:gutter="0" w:footer="0" w:header="0"/>
        </w:sectPr>
      </w:pPr>
    </w:p>
    <w:bookmarkStart w:id="133" w:name="page134"/>
    <w:bookmarkEnd w:id="133"/>
    <w:p>
      <w:pPr>
        <w:jc w:val="both"/>
        <w:ind w:right="60"/>
        <w:spacing w:after="0" w:line="250" w:lineRule="auto"/>
        <w:rPr>
          <w:sz w:val="20"/>
          <w:szCs w:val="20"/>
          <w:color w:val="auto"/>
        </w:rPr>
      </w:pPr>
      <w:r>
        <w:rPr>
          <w:rFonts w:ascii="Times New Roman" w:cs="Times New Roman" w:eastAsia="Times New Roman" w:hAnsi="Times New Roman"/>
          <w:sz w:val="20"/>
          <w:szCs w:val="20"/>
          <w:color w:val="auto"/>
        </w:rPr>
        <w:t>time set forth in the Extension Notice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If the Company timely provides an Extension Notice and offers the Executive an extension or a new Employment Agreement providing at least comparable terms to the Executive’s then current Employment Agreement but the Executive does not agree to enter into such extension or new Employment Agreement, such action shall be deemed to result in Executive’s Voluntary Termination as of the Term of Employment end date unless the Company determines otherwise in its sole and absolute discretion.</w:t>
      </w:r>
    </w:p>
    <w:p>
      <w:pPr>
        <w:spacing w:after="0" w:line="180" w:lineRule="exact"/>
        <w:rPr>
          <w:sz w:val="20"/>
          <w:szCs w:val="20"/>
          <w:color w:val="auto"/>
        </w:rPr>
      </w:pPr>
    </w:p>
    <w:p>
      <w:pPr>
        <w:jc w:val="both"/>
        <w:ind w:right="60" w:firstLine="615"/>
        <w:spacing w:after="0" w:line="268" w:lineRule="auto"/>
        <w:tabs>
          <w:tab w:leader="none" w:pos="12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Position and Duties. </w:t>
      </w:r>
      <w:r>
        <w:rPr>
          <w:rFonts w:ascii="Times New Roman" w:cs="Times New Roman" w:eastAsia="Times New Roman" w:hAnsi="Times New Roman"/>
          <w:sz w:val="19"/>
          <w:szCs w:val="19"/>
          <w:color w:val="auto"/>
        </w:rPr>
        <w:t>During the Term of Employment, the Executive shall serve as</w:t>
      </w:r>
      <w:r>
        <w:rPr>
          <w:rFonts w:ascii="Times New Roman" w:cs="Times New Roman" w:eastAsia="Times New Roman" w:hAnsi="Times New Roman"/>
          <w:sz w:val="19"/>
          <w:szCs w:val="19"/>
          <w:b w:val="1"/>
          <w:bCs w:val="1"/>
          <w:color w:val="auto"/>
        </w:rPr>
        <w:t xml:space="preserve"> President and Chief Merchandising Officer, Ross Dress for Less</w:t>
      </w:r>
      <w:r>
        <w:rPr>
          <w:rFonts w:ascii="Times New Roman" w:cs="Times New Roman" w:eastAsia="Times New Roman" w:hAnsi="Times New Roman"/>
          <w:sz w:val="19"/>
          <w:szCs w:val="19"/>
          <w:color w:val="auto"/>
        </w:rPr>
        <w:t>. During the Term of Employment, the Executive may engage in outside activities provided (i) such activities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but not limited to membership on boards of directors of not-for-profit and for-profit organizations) do not conflict with the Executive’s duties and responsibilities hereunder and (ii) the Executive obtains written approval from the CEO of any significant outside business activity in which the Executive plans to become involved, whether or not such activity is pursued for profit.</w:t>
      </w:r>
    </w:p>
    <w:p>
      <w:pPr>
        <w:spacing w:after="0" w:line="161" w:lineRule="exact"/>
        <w:rPr>
          <w:rFonts w:ascii="Times New Roman" w:cs="Times New Roman" w:eastAsia="Times New Roman" w:hAnsi="Times New Roman"/>
          <w:sz w:val="19"/>
          <w:szCs w:val="19"/>
          <w:color w:val="auto"/>
        </w:rPr>
      </w:pPr>
    </w:p>
    <w:p>
      <w:pPr>
        <w:jc w:val="both"/>
        <w:ind w:right="60" w:firstLine="615"/>
        <w:spacing w:after="0" w:line="262" w:lineRule="auto"/>
        <w:tabs>
          <w:tab w:leader="none" w:pos="12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Principal Place of Employment. </w:t>
      </w:r>
      <w:r>
        <w:rPr>
          <w:rFonts w:ascii="Times New Roman" w:cs="Times New Roman" w:eastAsia="Times New Roman" w:hAnsi="Times New Roman"/>
          <w:sz w:val="20"/>
          <w:szCs w:val="20"/>
          <w:color w:val="auto"/>
        </w:rPr>
        <w:t>The Executive shall be employed at the Company’s offices in</w:t>
      </w:r>
      <w:r>
        <w:rPr>
          <w:rFonts w:ascii="Times New Roman" w:cs="Times New Roman" w:eastAsia="Times New Roman" w:hAnsi="Times New Roman"/>
          <w:sz w:val="20"/>
          <w:szCs w:val="20"/>
          <w:b w:val="1"/>
          <w:bCs w:val="1"/>
          <w:color w:val="auto"/>
        </w:rPr>
        <w:t xml:space="preserve"> New York, NY</w:t>
      </w:r>
      <w:r>
        <w:rPr>
          <w:rFonts w:ascii="Times New Roman" w:cs="Times New Roman" w:eastAsia="Times New Roman" w:hAnsi="Times New Roman"/>
          <w:sz w:val="20"/>
          <w:szCs w:val="20"/>
          <w:color w:val="auto"/>
        </w:rPr>
        <w:t>,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travel on the Company’s business to an extent substantially consistent with present business travel obligations of the Executive’s position.</w:t>
      </w:r>
    </w:p>
    <w:p>
      <w:pPr>
        <w:spacing w:after="0" w:line="154" w:lineRule="exact"/>
        <w:rPr>
          <w:rFonts w:ascii="Times New Roman" w:cs="Times New Roman" w:eastAsia="Times New Roman" w:hAnsi="Times New Roman"/>
          <w:sz w:val="20"/>
          <w:szCs w:val="20"/>
          <w:color w:val="auto"/>
        </w:rPr>
      </w:pPr>
    </w:p>
    <w:p>
      <w:pPr>
        <w:ind w:left="920" w:hanging="304"/>
        <w:spacing w:after="0"/>
        <w:tabs>
          <w:tab w:leader="none" w:pos="9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Related Matters.</w:t>
      </w:r>
    </w:p>
    <w:p>
      <w:pPr>
        <w:spacing w:after="0" w:line="102" w:lineRule="exact"/>
        <w:rPr>
          <w:rFonts w:ascii="Times New Roman" w:cs="Times New Roman" w:eastAsia="Times New Roman" w:hAnsi="Times New Roman"/>
          <w:sz w:val="20"/>
          <w:szCs w:val="20"/>
          <w:color w:val="auto"/>
        </w:rPr>
      </w:pPr>
    </w:p>
    <w:p>
      <w:pPr>
        <w:jc w:val="both"/>
        <w:ind w:right="60" w:firstLine="1229"/>
        <w:spacing w:after="0" w:line="254" w:lineRule="auto"/>
        <w:tabs>
          <w:tab w:leader="none" w:pos="1841"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During the Term of Employment, the Company shall pay to the Executive a salary at a rate of not less than</w:t>
      </w:r>
      <w:r>
        <w:rPr>
          <w:rFonts w:ascii="Times New Roman" w:cs="Times New Roman" w:eastAsia="Times New Roman" w:hAnsi="Times New Roman"/>
          <w:sz w:val="20"/>
          <w:szCs w:val="20"/>
          <w:b w:val="1"/>
          <w:bCs w:val="1"/>
          <w:color w:val="auto"/>
        </w:rPr>
        <w:t xml:space="preserve"> One Million One Hundred Ninety Thousand Dollars ($1,190,000) </w:t>
      </w:r>
      <w:r>
        <w:rPr>
          <w:rFonts w:ascii="Times New Roman" w:cs="Times New Roman" w:eastAsia="Times New Roman" w:hAnsi="Times New Roman"/>
          <w:sz w:val="20"/>
          <w:szCs w:val="20"/>
          <w:color w:val="auto"/>
        </w:rPr>
        <w:t>per annum. The Executive’s salary shall be payable in substantially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equal installments in accordance with the Company’s normal payroll practices applicable to senior executives. Subject to the first sentence of this Section 4(a), the Executive’s salary may be adjusted from time to time in accordance with normal business practices of the Company.</w:t>
      </w:r>
    </w:p>
    <w:p>
      <w:pPr>
        <w:spacing w:after="0" w:line="164" w:lineRule="exact"/>
        <w:rPr>
          <w:rFonts w:ascii="Times New Roman" w:cs="Times New Roman" w:eastAsia="Times New Roman" w:hAnsi="Times New Roman"/>
          <w:sz w:val="20"/>
          <w:szCs w:val="20"/>
          <w:color w:val="auto"/>
        </w:rPr>
      </w:pPr>
    </w:p>
    <w:p>
      <w:pPr>
        <w:jc w:val="both"/>
        <w:ind w:firstLine="1229"/>
        <w:spacing w:after="0" w:line="250" w:lineRule="auto"/>
        <w:tabs>
          <w:tab w:leader="none" w:pos="183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During the Term of Employment, the Executive shall be eligible to receive an annual bonus paid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w:t>
      </w:r>
      <w:r>
        <w:rPr>
          <w:rFonts w:ascii="Times New Roman" w:cs="Times New Roman" w:eastAsia="Times New Roman" w:hAnsi="Times New Roman"/>
          <w:sz w:val="20"/>
          <w:szCs w:val="20"/>
          <w:b w:val="1"/>
          <w:bCs w:val="1"/>
          <w:color w:val="auto"/>
        </w:rPr>
        <w:t>135%</w:t>
      </w:r>
      <w:r>
        <w:rPr>
          <w:rFonts w:ascii="Times New Roman" w:cs="Times New Roman" w:eastAsia="Times New Roman" w:hAnsi="Times New Roman"/>
          <w:sz w:val="20"/>
          <w:szCs w:val="20"/>
          <w:color w:val="auto"/>
        </w:rPr>
        <w:t xml:space="preserve"> of the Executive’s then effective annual salary rate.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181" w:lineRule="exact"/>
        <w:rPr>
          <w:rFonts w:ascii="Times New Roman" w:cs="Times New Roman" w:eastAsia="Times New Roman" w:hAnsi="Times New Roman"/>
          <w:sz w:val="20"/>
          <w:szCs w:val="20"/>
          <w:color w:val="auto"/>
        </w:rPr>
      </w:pPr>
    </w:p>
    <w:p>
      <w:pPr>
        <w:jc w:val="both"/>
        <w:ind w:right="60" w:firstLine="1280"/>
        <w:spacing w:after="0" w:line="255" w:lineRule="auto"/>
        <w:tabs>
          <w:tab w:leader="none" w:pos="1841"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During the Term of Employment, the Executive shall be entitled to receive prompt reimbursement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60" w:lineRule="exact"/>
        <w:rPr>
          <w:rFonts w:ascii="Times New Roman" w:cs="Times New Roman" w:eastAsia="Times New Roman" w:hAnsi="Times New Roman"/>
          <w:sz w:val="20"/>
          <w:szCs w:val="20"/>
          <w:color w:val="auto"/>
        </w:rPr>
      </w:pPr>
    </w:p>
    <w:p>
      <w:pPr>
        <w:ind w:right="80" w:firstLine="1280"/>
        <w:spacing w:after="0" w:line="272" w:lineRule="auto"/>
        <w:tabs>
          <w:tab w:leader="none" w:pos="1839"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Benefits. </w:t>
      </w:r>
      <w:r>
        <w:rPr>
          <w:rFonts w:ascii="Times New Roman" w:cs="Times New Roman" w:eastAsia="Times New Roman" w:hAnsi="Times New Roman"/>
          <w:sz w:val="20"/>
          <w:szCs w:val="20"/>
          <w:color w:val="auto"/>
        </w:rPr>
        <w:t>During the Term of Employment, the Executive shall be entitled to participate in all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plans and arrangements in which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00"/>
          </w:cols>
          <w:pgMar w:left="320" w:top="1311" w:right="579" w:bottom="1440" w:gutter="0" w:footer="0" w:header="0"/>
        </w:sectPr>
      </w:pPr>
    </w:p>
    <w:bookmarkStart w:id="134" w:name="page135"/>
    <w:bookmarkEnd w:id="134"/>
    <w:p>
      <w:pPr>
        <w:jc w:val="both"/>
        <w:spacing w:after="0" w:line="249" w:lineRule="auto"/>
        <w:rPr>
          <w:sz w:val="20"/>
          <w:szCs w:val="20"/>
          <w:color w:val="auto"/>
        </w:rPr>
      </w:pPr>
      <w:r>
        <w:rPr>
          <w:rFonts w:ascii="Times New Roman" w:cs="Times New Roman" w:eastAsia="Times New Roman" w:hAnsi="Times New Roman"/>
          <w:sz w:val="20"/>
          <w:szCs w:val="20"/>
          <w:color w:val="auto"/>
        </w:rPr>
        <w:t>executives of the Company are eligible to participate. The Company shall not make any changes in such plans or arrangements which would adversely affect the Executive’s rights or benefits 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72" w:lineRule="exact"/>
        <w:rPr>
          <w:sz w:val="20"/>
          <w:szCs w:val="20"/>
          <w:color w:val="auto"/>
        </w:rPr>
      </w:pPr>
    </w:p>
    <w:p>
      <w:pPr>
        <w:jc w:val="both"/>
        <w:ind w:firstLine="1332"/>
        <w:spacing w:after="0" w:line="251" w:lineRule="auto"/>
        <w:tabs>
          <w:tab w:leader="none" w:pos="1841"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Vacations. </w:t>
      </w:r>
      <w:r>
        <w:rPr>
          <w:rFonts w:ascii="Times New Roman" w:cs="Times New Roman" w:eastAsia="Times New Roman" w:hAnsi="Times New Roman"/>
          <w:sz w:val="20"/>
          <w:szCs w:val="20"/>
          <w:color w:val="auto"/>
        </w:rPr>
        <w:t>During the Term of Employment, the Executive shall be entitled to</w:t>
      </w:r>
      <w:r>
        <w:rPr>
          <w:rFonts w:ascii="Times New Roman" w:cs="Times New Roman" w:eastAsia="Times New Roman" w:hAnsi="Times New Roman"/>
          <w:sz w:val="20"/>
          <w:szCs w:val="20"/>
          <w:b w:val="1"/>
          <w:bCs w:val="1"/>
          <w:color w:val="auto"/>
        </w:rPr>
        <w:t xml:space="preserve"> twenty-five </w:t>
      </w:r>
      <w:r>
        <w:rPr>
          <w:rFonts w:ascii="Times New Roman" w:cs="Times New Roman" w:eastAsia="Times New Roman" w:hAnsi="Times New Roman"/>
          <w:sz w:val="20"/>
          <w:szCs w:val="20"/>
          <w:color w:val="auto"/>
        </w:rPr>
        <w:t>vacation days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178" w:lineRule="exact"/>
        <w:rPr>
          <w:rFonts w:ascii="Times New Roman" w:cs="Times New Roman" w:eastAsia="Times New Roman" w:hAnsi="Times New Roman"/>
          <w:sz w:val="20"/>
          <w:szCs w:val="20"/>
          <w:color w:val="auto"/>
        </w:rPr>
      </w:pPr>
    </w:p>
    <w:p>
      <w:pPr>
        <w:ind w:firstLine="1332"/>
        <w:spacing w:after="0" w:line="272" w:lineRule="auto"/>
        <w:tabs>
          <w:tab w:leader="none" w:pos="1832"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Furnished. </w:t>
      </w:r>
      <w:r>
        <w:rPr>
          <w:rFonts w:ascii="Times New Roman" w:cs="Times New Roman" w:eastAsia="Times New Roman" w:hAnsi="Times New Roman"/>
          <w:sz w:val="20"/>
          <w:szCs w:val="20"/>
          <w:color w:val="auto"/>
        </w:rPr>
        <w:t>The Company shall furnish the Executive with office space and such services as are suitable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Executive’s position and adequate for the performance of the Executive’s duties during the Term of Employment.</w:t>
      </w:r>
    </w:p>
    <w:p>
      <w:pPr>
        <w:spacing w:after="0" w:line="156" w:lineRule="exact"/>
        <w:rPr>
          <w:rFonts w:ascii="Times New Roman" w:cs="Times New Roman" w:eastAsia="Times New Roman" w:hAnsi="Times New Roman"/>
          <w:sz w:val="20"/>
          <w:szCs w:val="20"/>
          <w:color w:val="auto"/>
        </w:rPr>
      </w:pPr>
    </w:p>
    <w:p>
      <w:pPr>
        <w:ind w:left="920" w:hanging="304"/>
        <w:spacing w:after="0"/>
        <w:tabs>
          <w:tab w:leader="none" w:pos="9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 Information and Intellectual Property.</w:t>
      </w:r>
    </w:p>
    <w:p>
      <w:pPr>
        <w:spacing w:after="0" w:line="106" w:lineRule="exact"/>
        <w:rPr>
          <w:rFonts w:ascii="Times New Roman" w:cs="Times New Roman" w:eastAsia="Times New Roman" w:hAnsi="Times New Roman"/>
          <w:sz w:val="20"/>
          <w:szCs w:val="20"/>
          <w:color w:val="auto"/>
        </w:rPr>
      </w:pPr>
    </w:p>
    <w:p>
      <w:pPr>
        <w:ind w:firstLine="1229"/>
        <w:spacing w:after="0" w:line="268" w:lineRule="auto"/>
        <w:tabs>
          <w:tab w:leader="none" w:pos="1841"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intended to supplement, and not to supersede, any rights the Company may have in law or equity with respect to the protection of trade secrets or confidential or proprietary information.</w:t>
      </w:r>
    </w:p>
    <w:p>
      <w:pPr>
        <w:spacing w:after="0" w:line="164" w:lineRule="exact"/>
        <w:rPr>
          <w:rFonts w:ascii="Times New Roman" w:cs="Times New Roman" w:eastAsia="Times New Roman" w:hAnsi="Times New Roman"/>
          <w:sz w:val="20"/>
          <w:szCs w:val="20"/>
          <w:color w:val="auto"/>
        </w:rPr>
      </w:pPr>
    </w:p>
    <w:p>
      <w:pPr>
        <w:jc w:val="both"/>
        <w:ind w:firstLine="1229"/>
        <w:spacing w:after="0" w:line="250" w:lineRule="auto"/>
        <w:tabs>
          <w:tab w:leader="none" w:pos="1839"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183" w:lineRule="exact"/>
        <w:rPr>
          <w:rFonts w:ascii="Times New Roman" w:cs="Times New Roman" w:eastAsia="Times New Roman" w:hAnsi="Times New Roman"/>
          <w:sz w:val="20"/>
          <w:szCs w:val="20"/>
          <w:color w:val="auto"/>
        </w:rPr>
      </w:pPr>
    </w:p>
    <w:p>
      <w:pPr>
        <w:jc w:val="both"/>
        <w:ind w:firstLine="1229"/>
        <w:spacing w:after="0" w:line="264" w:lineRule="auto"/>
        <w:tabs>
          <w:tab w:leader="none" w:pos="1841"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Confidential Information includes any written or unwritten information which relates to and/or is used by the Company or its subsidiaries, affiliates or divisions, including, without limitation: (i) the names, addresses, buying habits and other special information regarding past, present and potential customers, employees and suppliers of the Company; (ii) customer and supplier contracts and transactions or price lists of the Company and suppliers; (iii) methods of distribution; (iv) all agreements, files, books, logs, charts, records, studies, reports, processes, schedules and statistical information; (v) data, figures, projections, estimates, pricing data, customer lists, buying manuals or procedures, distribution manuals or procedures, and other policy and procedure manuals or handbooks; (vi) supplier information, tax records, personnel histories and records, sales information and property information; (vii) information regarding the present or future phases of business; (viii) ideas, inventions, trademarks, business information, know-how,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40"/>
          </w:cols>
          <w:pgMar w:left="320" w:top="1311" w:right="639" w:bottom="1440" w:gutter="0" w:footer="0" w:header="0"/>
        </w:sectPr>
      </w:pPr>
    </w:p>
    <w:bookmarkStart w:id="135" w:name="page136"/>
    <w:bookmarkEnd w:id="135"/>
    <w:p>
      <w:pPr>
        <w:jc w:val="both"/>
        <w:spacing w:after="0" w:line="248" w:lineRule="auto"/>
        <w:rPr>
          <w:sz w:val="20"/>
          <w:szCs w:val="20"/>
          <w:color w:val="auto"/>
        </w:rPr>
      </w:pPr>
      <w:r>
        <w:rPr>
          <w:rFonts w:ascii="Times New Roman" w:cs="Times New Roman" w:eastAsia="Times New Roman" w:hAnsi="Times New Roman"/>
          <w:sz w:val="20"/>
          <w:szCs w:val="20"/>
          <w:color w:val="auto"/>
        </w:rPr>
        <w:t>techniques, improvements, designs, redesigns, creations, discoveries, trade secrets, and developments; (ix) all computer software licensed or developed by the Company or its subsidiaries, affiliates or divisions, computer programs, computer-based and web-based training programs, and systems; and (x) finances and financial information. However, Confidential Information will not include information of the Company or its subsidiaries, affiliates or divisions that (1) became or becomes a matter of public knowledge through sources independent of the Executive or (2) has been or is disclosed by the Company or its subsidiaries, affiliates or divisions without restriction on its use. To the extent that the executive is required or permitted by law or governmental order or regulation to disclose Confidential Information, the Executive shall provide prompt written notice of any such order to the Company’s CEO or the CEO’s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Company’s CEO confirms to the Executive that the information is public knowledge.</w:t>
      </w:r>
    </w:p>
    <w:p>
      <w:pPr>
        <w:spacing w:after="0" w:line="174" w:lineRule="exact"/>
        <w:rPr>
          <w:sz w:val="20"/>
          <w:szCs w:val="20"/>
          <w:color w:val="auto"/>
        </w:rPr>
      </w:pPr>
    </w:p>
    <w:p>
      <w:pPr>
        <w:jc w:val="both"/>
        <w:ind w:firstLine="1229"/>
        <w:spacing w:after="0" w:line="260" w:lineRule="auto"/>
        <w:tabs>
          <w:tab w:leader="none" w:pos="183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5 shall not preclude the Executive from disclosing such information to the Executive's professional tax advisor or legal counsel solely to the extent necessary to the rendering of their professional services to the Executive if such individuals agree to keep such information confidential.</w:t>
      </w:r>
    </w:p>
    <w:p>
      <w:pPr>
        <w:spacing w:after="0" w:line="160" w:lineRule="exact"/>
        <w:rPr>
          <w:rFonts w:ascii="Times New Roman" w:cs="Times New Roman" w:eastAsia="Times New Roman" w:hAnsi="Times New Roman"/>
          <w:sz w:val="20"/>
          <w:szCs w:val="20"/>
          <w:color w:val="auto"/>
        </w:rPr>
      </w:pPr>
    </w:p>
    <w:p>
      <w:pPr>
        <w:jc w:val="both"/>
        <w:ind w:firstLine="1229"/>
        <w:spacing w:after="0" w:line="249" w:lineRule="auto"/>
        <w:tabs>
          <w:tab w:leader="none" w:pos="184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76" w:lineRule="exact"/>
        <w:rPr>
          <w:rFonts w:ascii="Times New Roman" w:cs="Times New Roman" w:eastAsia="Times New Roman" w:hAnsi="Times New Roman"/>
          <w:sz w:val="20"/>
          <w:szCs w:val="20"/>
          <w:color w:val="auto"/>
        </w:rPr>
      </w:pPr>
    </w:p>
    <w:p>
      <w:pPr>
        <w:jc w:val="both"/>
        <w:ind w:firstLine="1229"/>
        <w:spacing w:after="0" w:line="260" w:lineRule="auto"/>
        <w:tabs>
          <w:tab w:leader="none" w:pos="1832"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73" w:lineRule="exact"/>
        <w:rPr>
          <w:rFonts w:ascii="Times New Roman" w:cs="Times New Roman" w:eastAsia="Times New Roman" w:hAnsi="Times New Roman"/>
          <w:sz w:val="20"/>
          <w:szCs w:val="20"/>
          <w:color w:val="auto"/>
        </w:rPr>
      </w:pPr>
    </w:p>
    <w:p>
      <w:pPr>
        <w:jc w:val="both"/>
        <w:ind w:firstLine="1229"/>
        <w:spacing w:after="0" w:line="251" w:lineRule="auto"/>
        <w:tabs>
          <w:tab w:leader="none" w:pos="183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 Information) as a result of employment with the Company. The Executive further agrees to notify the CEO or the CEO’s designee immediately after being contacted by any member of the media with respect to any matter affected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40"/>
          </w:cols>
          <w:pgMar w:left="320" w:top="1311" w:right="639" w:bottom="1440" w:gutter="0" w:footer="0" w:header="0"/>
        </w:sectPr>
      </w:pPr>
    </w:p>
    <w:bookmarkStart w:id="136" w:name="page137"/>
    <w:bookmarkEnd w:id="136"/>
    <w:p>
      <w:pPr>
        <w:jc w:val="both"/>
        <w:ind w:left="-2" w:firstLine="1229"/>
        <w:spacing w:after="0" w:line="246" w:lineRule="auto"/>
        <w:tabs>
          <w:tab w:leader="none" w:pos="1837"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the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 deliver any such documents on the Executive’s behalf in the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195" w:lineRule="exact"/>
        <w:rPr>
          <w:rFonts w:ascii="Times New Roman" w:cs="Times New Roman" w:eastAsia="Times New Roman" w:hAnsi="Times New Roman"/>
          <w:sz w:val="20"/>
          <w:szCs w:val="20"/>
          <w:color w:val="auto"/>
        </w:rPr>
      </w:pPr>
    </w:p>
    <w:p>
      <w:pPr>
        <w:jc w:val="both"/>
        <w:ind w:left="-2" w:firstLine="1229"/>
        <w:spacing w:after="0" w:line="250" w:lineRule="auto"/>
        <w:tabs>
          <w:tab w:leader="none" w:pos="1831"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understands and acknowledges that Intellectual Property does not include and any provision in this Agreement requiring the Executive to assign rights to an invention does not apply to, any invention that is developed entirely on the Executive’s own time without using the Company’s equipment, supplies, facilities or trade secret information, and that does not either (i) relate the Company’s business, or actual or demonstrably anticipated research or development of the Employer or (ii) result from any work performed by the Executive for the Company.</w:t>
      </w:r>
    </w:p>
    <w:p>
      <w:pPr>
        <w:spacing w:after="0" w:line="183" w:lineRule="exact"/>
        <w:rPr>
          <w:rFonts w:ascii="Times New Roman" w:cs="Times New Roman" w:eastAsia="Times New Roman" w:hAnsi="Times New Roman"/>
          <w:sz w:val="20"/>
          <w:szCs w:val="20"/>
          <w:color w:val="auto"/>
        </w:rPr>
      </w:pPr>
    </w:p>
    <w:p>
      <w:pPr>
        <w:jc w:val="both"/>
        <w:ind w:left="-2" w:firstLine="1229"/>
        <w:spacing w:after="0" w:line="260" w:lineRule="auto"/>
        <w:tabs>
          <w:tab w:leader="none" w:pos="1831"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60" w:lineRule="exact"/>
        <w:rPr>
          <w:rFonts w:ascii="Times New Roman" w:cs="Times New Roman" w:eastAsia="Times New Roman" w:hAnsi="Times New Roman"/>
          <w:sz w:val="20"/>
          <w:szCs w:val="20"/>
          <w:color w:val="auto"/>
        </w:rPr>
      </w:pPr>
    </w:p>
    <w:p>
      <w:pPr>
        <w:ind w:left="1838" w:hanging="611"/>
        <w:spacing w:after="0"/>
        <w:tabs>
          <w:tab w:leader="none" w:pos="1838"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the Executive’s employment, or at any time upon request of the Company, the Executive will</w:t>
      </w:r>
    </w:p>
    <w:p>
      <w:pPr>
        <w:spacing w:after="0" w:line="33" w:lineRule="exact"/>
        <w:rPr>
          <w:rFonts w:ascii="Times New Roman" w:cs="Times New Roman" w:eastAsia="Times New Roman" w:hAnsi="Times New Roman"/>
          <w:sz w:val="19"/>
          <w:szCs w:val="19"/>
          <w:color w:val="auto"/>
        </w:rPr>
      </w:pPr>
    </w:p>
    <w:p>
      <w:pPr>
        <w:jc w:val="both"/>
        <w:ind w:left="-2" w:firstLine="2"/>
        <w:spacing w:after="0" w:line="248" w:lineRule="auto"/>
        <w:tabs>
          <w:tab w:leader="none" w:pos="23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return to the Company all Confidential Information and Intellectual Property, in any form, including but not limited to letters, memoranda, reports, notes, notebooks, books of account, drawings, prints, specifications, formulae, data printouts, microfilms, magnetic tapes, disks, recordings, documents, and all copies thereof,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38"/>
          </w:cols>
          <w:pgMar w:left="322" w:top="1311" w:right="639" w:bottom="1440" w:gutter="0" w:footer="0" w:header="0"/>
        </w:sectPr>
      </w:pPr>
    </w:p>
    <w:bookmarkStart w:id="137" w:name="page138"/>
    <w:bookmarkEnd w:id="137"/>
    <w:p>
      <w:pPr>
        <w:ind w:left="-300" w:firstLine="1229"/>
        <w:spacing w:after="0" w:line="268" w:lineRule="auto"/>
        <w:tabs>
          <w:tab w:leader="none" w:pos="1534"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shall limit the Executive’s right to disclose sexual harassment or sexual assault disputes, or shall in any way, restrict or impede the Executive from exercising protected rights as afforded by applicable law.</w:t>
      </w:r>
    </w:p>
    <w:p>
      <w:pPr>
        <w:spacing w:after="0" w:line="173" w:lineRule="exact"/>
        <w:rPr>
          <w:rFonts w:ascii="Times New Roman" w:cs="Times New Roman" w:eastAsia="Times New Roman" w:hAnsi="Times New Roman"/>
          <w:sz w:val="20"/>
          <w:szCs w:val="20"/>
          <w:color w:val="auto"/>
        </w:rPr>
      </w:pPr>
    </w:p>
    <w:p>
      <w:pPr>
        <w:ind w:left="920" w:hanging="605"/>
        <w:spacing w:after="0"/>
        <w:tabs>
          <w:tab w:leader="none" w:pos="9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Executive’s employment may be terminated during the Term of Employment only as follows:</w:t>
      </w:r>
    </w:p>
    <w:p>
      <w:pPr>
        <w:spacing w:after="0" w:line="217" w:lineRule="exact"/>
        <w:rPr>
          <w:rFonts w:ascii="Times New Roman" w:cs="Times New Roman" w:eastAsia="Times New Roman" w:hAnsi="Times New Roman"/>
          <w:sz w:val="20"/>
          <w:szCs w:val="20"/>
          <w:color w:val="auto"/>
        </w:rPr>
      </w:pPr>
    </w:p>
    <w:p>
      <w:pPr>
        <w:ind w:left="1540" w:hanging="610"/>
        <w:spacing w:after="0"/>
        <w:tabs>
          <w:tab w:leader="none" w:pos="15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The Executive’s employment shall terminate upon the Executive’s death.</w:t>
      </w:r>
    </w:p>
    <w:p>
      <w:pPr>
        <w:spacing w:after="0" w:line="204" w:lineRule="exact"/>
        <w:rPr>
          <w:rFonts w:ascii="Times New Roman" w:cs="Times New Roman" w:eastAsia="Times New Roman" w:hAnsi="Times New Roman"/>
          <w:sz w:val="20"/>
          <w:szCs w:val="20"/>
          <w:color w:val="auto"/>
        </w:rPr>
      </w:pPr>
    </w:p>
    <w:p>
      <w:pPr>
        <w:jc w:val="both"/>
        <w:ind w:left="-300" w:firstLine="1230"/>
        <w:spacing w:after="0" w:line="249" w:lineRule="auto"/>
        <w:tabs>
          <w:tab w:leader="none" w:pos="15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If, as a result of the Executive’s Disability (as defined below), the Executive shall have been absent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in accordance with Section 7(b)(ii). For purposes of this Agreement, the term “Disability” shall have the same meaning as ascribed to such term under the Company's long-term disability plan in which the Executive is participating; provided that in the absence of such plan (or the absence of the Executive's participation in such plan), Disability shall mean the Executive’s inability to substantially perform the Executive’s duties hereunder due to a medically determinable physical or mental impairment which has lasted for a period of not less than one hundred twenty (120) consecutive days.</w:t>
      </w:r>
    </w:p>
    <w:p>
      <w:pPr>
        <w:spacing w:after="0" w:line="180" w:lineRule="exact"/>
        <w:rPr>
          <w:rFonts w:ascii="Times New Roman" w:cs="Times New Roman" w:eastAsia="Times New Roman" w:hAnsi="Times New Roman"/>
          <w:sz w:val="20"/>
          <w:szCs w:val="20"/>
          <w:color w:val="auto"/>
        </w:rPr>
      </w:pPr>
    </w:p>
    <w:p>
      <w:pPr>
        <w:jc w:val="both"/>
        <w:ind w:left="-300" w:firstLine="1230"/>
        <w:spacing w:after="0" w:line="246" w:lineRule="auto"/>
        <w:tabs>
          <w:tab w:leader="none" w:pos="154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 Cause. </w:t>
      </w:r>
      <w:r>
        <w:rPr>
          <w:rFonts w:ascii="Times New Roman" w:cs="Times New Roman" w:eastAsia="Times New Roman" w:hAnsi="Times New Roman"/>
          <w:sz w:val="20"/>
          <w:szCs w:val="20"/>
          <w:color w:val="auto"/>
        </w:rPr>
        <w:t>The Company may terminate the Executive’s employment for Cause. For this purpose,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knowing or intentional misconduct by the Executive as a result of which the Company is required to prepare an accounting restatement; (v)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 any intentional misconduct or illegal or grossly negligent conduct by the Executive which is materially injurious to the Company monetarily or otherwise; (vii) any material breach by the Executive of the provisions of Section 9 [Certain Employment Obligations] of this Agreement; or (viii) the Executive’s conviction (including any plea of guilty or nolo contendere) of any criminal act involving fraud, dishonesty, misappropriation, or moral turpitude, or which materially impairs the Executive’s ability to perform the Executive’s duties with the Company. A termination for Cause shall not take effect unless: (1) the Executive is given written notice by the Company of its intention to terminate the Executive for Cause; (2) the notice specifically identifies the particular act or acts or failure or failures to act which are the basis for such termination; and (3) where practicable, the notice is given within sixty days of the Company’s learning of such act or acts or failure or failures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640"/>
          </w:cols>
          <w:pgMar w:left="620" w:top="1171" w:right="639" w:bottom="1440" w:gutter="0" w:footer="0" w:header="0"/>
        </w:sectPr>
      </w:pPr>
    </w:p>
    <w:bookmarkStart w:id="138" w:name="page139"/>
    <w:bookmarkEnd w:id="138"/>
    <w:p>
      <w:pPr>
        <w:jc w:val="both"/>
        <w:ind w:left="-300" w:firstLine="1230"/>
        <w:spacing w:after="0" w:line="262" w:lineRule="auto"/>
        <w:tabs>
          <w:tab w:leader="none" w:pos="15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Without Cause. </w:t>
      </w:r>
      <w:r>
        <w:rPr>
          <w:rFonts w:ascii="Times New Roman" w:cs="Times New Roman" w:eastAsia="Times New Roman" w:hAnsi="Times New Roman"/>
          <w:sz w:val="20"/>
          <w:szCs w:val="20"/>
          <w:color w:val="auto"/>
        </w:rPr>
        <w:t>The Company may terminate the Executive’s employment at any time Without Cause.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w:t>
      </w:r>
      <w:r>
        <w:rPr>
          <w:rFonts w:ascii="Times New Roman" w:cs="Times New Roman" w:eastAsia="Times New Roman" w:hAnsi="Times New Roman"/>
          <w:sz w:val="20"/>
          <w:szCs w:val="20"/>
          <w:u w:val="single" w:color="auto"/>
          <w:color w:val="auto"/>
        </w:rPr>
        <w:t>Without Cause</w:t>
      </w:r>
      <w:r>
        <w:rPr>
          <w:rFonts w:ascii="Times New Roman" w:cs="Times New Roman" w:eastAsia="Times New Roman" w:hAnsi="Times New Roman"/>
          <w:sz w:val="20"/>
          <w:szCs w:val="20"/>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154" w:lineRule="exact"/>
        <w:rPr>
          <w:rFonts w:ascii="Times New Roman" w:cs="Times New Roman" w:eastAsia="Times New Roman" w:hAnsi="Times New Roman"/>
          <w:sz w:val="20"/>
          <w:szCs w:val="20"/>
          <w:color w:val="auto"/>
        </w:rPr>
      </w:pPr>
    </w:p>
    <w:p>
      <w:pPr>
        <w:ind w:left="1220" w:hanging="290"/>
        <w:spacing w:after="0"/>
        <w:tabs>
          <w:tab w:leader="none" w:pos="12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by the Executive for Good Reason.</w:t>
      </w:r>
    </w:p>
    <w:p>
      <w:pPr>
        <w:spacing w:after="0" w:line="204" w:lineRule="exact"/>
        <w:rPr>
          <w:rFonts w:ascii="Times New Roman" w:cs="Times New Roman" w:eastAsia="Times New Roman" w:hAnsi="Times New Roman"/>
          <w:sz w:val="20"/>
          <w:szCs w:val="20"/>
          <w:color w:val="auto"/>
        </w:rPr>
      </w:pPr>
    </w:p>
    <w:p>
      <w:pPr>
        <w:jc w:val="both"/>
        <w:ind w:left="-300" w:firstLine="1843"/>
        <w:spacing w:after="0" w:line="247" w:lineRule="auto"/>
        <w:tabs>
          <w:tab w:leader="none" w:pos="2148"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Not in Connection with a Change in Control. </w:t>
      </w:r>
      <w:r>
        <w:rPr>
          <w:rFonts w:ascii="Times New Roman" w:cs="Times New Roman" w:eastAsia="Times New Roman" w:hAnsi="Times New Roman"/>
          <w:sz w:val="20"/>
          <w:szCs w:val="20"/>
          <w:color w:val="auto"/>
        </w:rPr>
        <w:t>At any time during the Term of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within the period commencing one month prior to and ending twelve months following a Change in Control (as defined below in Section 8(e)(ii)), the Executive may terminate the Executive’s employment with the Company for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Executive’s employment may be transferred, assigned, or re-assigned to Ross Stores, Inc. or a division, affiliate, or subsidiary of Ross Stores, Inc.; the division, affiliate, or subsidiary with respect to which the Executive is performing services may be reorganized; and the Executive’s direct reports or the person or title of the person to whom the Executive reports may be changed; and no such transfer, assignment, re-assignment, reorganization, or change shall constitute “Good Reason” for the Executive’s termination of employment under this Section 6(e)(i);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78" w:lineRule="exact"/>
        <w:rPr>
          <w:rFonts w:ascii="Times New Roman" w:cs="Times New Roman" w:eastAsia="Times New Roman" w:hAnsi="Times New Roman"/>
          <w:sz w:val="20"/>
          <w:szCs w:val="20"/>
          <w:color w:val="auto"/>
        </w:rPr>
      </w:pPr>
    </w:p>
    <w:p>
      <w:pPr>
        <w:jc w:val="both"/>
        <w:ind w:left="-300" w:firstLine="1843"/>
        <w:spacing w:after="0" w:line="249" w:lineRule="auto"/>
        <w:tabs>
          <w:tab w:leader="none" w:pos="2151"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in Connection with a Change in Control. </w:t>
      </w:r>
      <w:r>
        <w:rPr>
          <w:rFonts w:ascii="Times New Roman" w:cs="Times New Roman" w:eastAsia="Times New Roman" w:hAnsi="Times New Roman"/>
          <w:sz w:val="20"/>
          <w:szCs w:val="20"/>
          <w:color w:val="auto"/>
        </w:rPr>
        <w:t>Within the period commencing a month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 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640"/>
          </w:cols>
          <w:pgMar w:left="620" w:top="1307" w:right="639" w:bottom="1440" w:gutter="0" w:footer="0" w:header="0"/>
        </w:sectPr>
      </w:pPr>
    </w:p>
    <w:bookmarkStart w:id="139" w:name="page140"/>
    <w:bookmarkEnd w:id="139"/>
    <w:p>
      <w:pPr>
        <w:jc w:val="both"/>
        <w:spacing w:after="0" w:line="251" w:lineRule="auto"/>
        <w:rPr>
          <w:sz w:val="20"/>
          <w:szCs w:val="20"/>
          <w:color w:val="auto"/>
        </w:rPr>
      </w:pPr>
      <w:r>
        <w:rPr>
          <w:rFonts w:ascii="Times New Roman" w:cs="Times New Roman" w:eastAsia="Times New Roman" w:hAnsi="Times New Roman"/>
          <w:sz w:val="20"/>
          <w:szCs w:val="20"/>
          <w:color w:val="auto"/>
        </w:rPr>
        <w:t>Employment by more than 25 miles without the Executive’s prior written consent; (iv) a change in 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65" w:lineRule="exact"/>
        <w:rPr>
          <w:sz w:val="20"/>
          <w:szCs w:val="20"/>
          <w:color w:val="auto"/>
        </w:rPr>
      </w:pPr>
    </w:p>
    <w:p>
      <w:pPr>
        <w:jc w:val="both"/>
        <w:ind w:firstLine="1229"/>
        <w:spacing w:after="0" w:line="262" w:lineRule="auto"/>
        <w:tabs>
          <w:tab w:leader="none" w:pos="1832"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Voluntary Termination. </w:t>
      </w:r>
      <w:r>
        <w:rPr>
          <w:rFonts w:ascii="Times New Roman" w:cs="Times New Roman" w:eastAsia="Times New Roman" w:hAnsi="Times New Roman"/>
          <w:sz w:val="20"/>
          <w:szCs w:val="20"/>
          <w:color w:val="auto"/>
        </w:rPr>
        <w:t>The Executive may voluntarily resign from the Executive’s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at any time (a “</w:t>
      </w:r>
      <w:r>
        <w:rPr>
          <w:rFonts w:ascii="Times New Roman" w:cs="Times New Roman" w:eastAsia="Times New Roman" w:hAnsi="Times New Roman"/>
          <w:sz w:val="20"/>
          <w:szCs w:val="20"/>
          <w:u w:val="single" w:color="auto"/>
          <w:color w:val="auto"/>
        </w:rPr>
        <w:t>Voluntary Termination</w:t>
      </w:r>
      <w:r>
        <w:rPr>
          <w:rFonts w:ascii="Times New Roman" w:cs="Times New Roman" w:eastAsia="Times New Roman" w:hAnsi="Times New Roman"/>
          <w:sz w:val="20"/>
          <w:szCs w:val="20"/>
          <w:color w:val="auto"/>
        </w:rPr>
        <w:t>”). A voluntary resignation from employment by the Executive for Good Reason pursuant to Section 6(e)(i) shall not be deemed a Voluntary Termination.</w:t>
      </w:r>
    </w:p>
    <w:p>
      <w:pPr>
        <w:spacing w:after="0" w:line="154" w:lineRule="exact"/>
        <w:rPr>
          <w:rFonts w:ascii="Times New Roman" w:cs="Times New Roman" w:eastAsia="Times New Roman" w:hAnsi="Times New Roman"/>
          <w:sz w:val="20"/>
          <w:szCs w:val="20"/>
          <w:color w:val="auto"/>
        </w:rPr>
      </w:pPr>
    </w:p>
    <w:p>
      <w:pPr>
        <w:jc w:val="both"/>
        <w:ind w:firstLine="1229"/>
        <w:spacing w:after="0" w:line="262" w:lineRule="auto"/>
        <w:tabs>
          <w:tab w:leader="none" w:pos="1839"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Company does not provide the Executive an Extension Notice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Section 1(c), this Agreement shall automatically expire at the end of the then current Term of Employment (a “</w:t>
      </w:r>
      <w:r>
        <w:rPr>
          <w:rFonts w:ascii="Times New Roman" w:cs="Times New Roman" w:eastAsia="Times New Roman" w:hAnsi="Times New Roman"/>
          <w:sz w:val="20"/>
          <w:szCs w:val="20"/>
          <w:u w:val="single" w:color="auto"/>
          <w:color w:val="auto"/>
        </w:rPr>
        <w:t>Non-Renewal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left="920" w:hanging="304"/>
        <w:spacing w:after="0"/>
        <w:tabs>
          <w:tab w:leader="none" w:pos="92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and Effective Date of Termination.</w:t>
      </w:r>
    </w:p>
    <w:p>
      <w:pPr>
        <w:spacing w:after="0" w:line="204" w:lineRule="exact"/>
        <w:rPr>
          <w:rFonts w:ascii="Times New Roman" w:cs="Times New Roman" w:eastAsia="Times New Roman" w:hAnsi="Times New Roman"/>
          <w:sz w:val="20"/>
          <w:szCs w:val="20"/>
          <w:color w:val="auto"/>
        </w:rPr>
      </w:pPr>
    </w:p>
    <w:p>
      <w:pPr>
        <w:jc w:val="both"/>
        <w:ind w:firstLine="1229"/>
        <w:spacing w:after="0" w:line="252" w:lineRule="auto"/>
        <w:tabs>
          <w:tab w:leader="none" w:pos="1841"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termination of the Executive’s employment by the Company or by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(other than as a result of the death of the Executive, a Non-Renewal Termination described in Section 6(g), or a Voluntary Termination described in Section 6(f)) shall be communicated by written notice of termination to the other party hereto. Such notice shall indicate the specific termination provision in this Agreement relied upon and, except in the case of termination Without Cause described in Section 6(d), shall set forth in reasonable detail the facts and circumstances claimed to provide a basis for termination of the Executive’s employment under that provision.</w:t>
      </w:r>
    </w:p>
    <w:p>
      <w:pPr>
        <w:spacing w:after="0" w:line="162" w:lineRule="exact"/>
        <w:rPr>
          <w:rFonts w:ascii="Times New Roman" w:cs="Times New Roman" w:eastAsia="Times New Roman" w:hAnsi="Times New Roman"/>
          <w:sz w:val="20"/>
          <w:szCs w:val="20"/>
          <w:color w:val="auto"/>
        </w:rPr>
      </w:pPr>
    </w:p>
    <w:p>
      <w:pPr>
        <w:ind w:left="1540" w:hanging="310"/>
        <w:spacing w:after="0"/>
        <w:tabs>
          <w:tab w:leader="none" w:pos="154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of Termination. </w:t>
      </w:r>
      <w:r>
        <w:rPr>
          <w:rFonts w:ascii="Times New Roman" w:cs="Times New Roman" w:eastAsia="Times New Roman" w:hAnsi="Times New Roman"/>
          <w:sz w:val="20"/>
          <w:szCs w:val="20"/>
          <w:color w:val="auto"/>
        </w:rPr>
        <w:t>The date of termination of the Executive’s employment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w:t>
      </w:r>
    </w:p>
    <w:p>
      <w:pPr>
        <w:spacing w:after="0" w:line="191" w:lineRule="exact"/>
        <w:rPr>
          <w:sz w:val="20"/>
          <w:szCs w:val="20"/>
          <w:color w:val="auto"/>
        </w:rPr>
      </w:pPr>
    </w:p>
    <w:p>
      <w:pPr>
        <w:ind w:right="3240" w:firstLine="1844"/>
        <w:spacing w:after="0" w:line="281" w:lineRule="auto"/>
        <w:tabs>
          <w:tab w:leader="none" w:pos="244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the Executive’s death, the date of the Executive’s death;</w:t>
      </w:r>
    </w:p>
    <w:p>
      <w:pPr>
        <w:spacing w:after="0" w:line="139" w:lineRule="exact"/>
        <w:rPr>
          <w:rFonts w:ascii="Times New Roman" w:cs="Times New Roman" w:eastAsia="Times New Roman" w:hAnsi="Times New Roman"/>
          <w:sz w:val="20"/>
          <w:szCs w:val="20"/>
          <w:color w:val="auto"/>
        </w:rPr>
      </w:pPr>
    </w:p>
    <w:p>
      <w:pPr>
        <w:jc w:val="both"/>
        <w:ind w:firstLine="1843"/>
        <w:spacing w:after="0" w:line="260" w:lineRule="auto"/>
        <w:tabs>
          <w:tab w:leader="none" w:pos="245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w:t>
      </w:r>
    </w:p>
    <w:p>
      <w:pPr>
        <w:spacing w:after="0" w:line="160" w:lineRule="exact"/>
        <w:rPr>
          <w:rFonts w:ascii="Times New Roman" w:cs="Times New Roman" w:eastAsia="Times New Roman" w:hAnsi="Times New Roman"/>
          <w:sz w:val="20"/>
          <w:szCs w:val="20"/>
          <w:color w:val="auto"/>
        </w:rPr>
      </w:pPr>
    </w:p>
    <w:p>
      <w:pPr>
        <w:jc w:val="both"/>
        <w:ind w:firstLine="1843"/>
        <w:spacing w:after="0" w:line="254" w:lineRule="auto"/>
        <w:tabs>
          <w:tab w:leader="none" w:pos="245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by the Executive as a Voluntary Termination, the effective date shall be a date mutually agreed to by the Company and the Executive, or if the Executive’s employment is terminated for any other reason by either party (other than Voluntary Termination), the date on which a notice of termination is delivered to the other party or, in the event of the Company’s termination of the Executive, such date as the Company may specify in such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40"/>
          </w:cols>
          <w:pgMar w:left="320" w:top="1311" w:right="639" w:bottom="1440" w:gutter="0" w:footer="0" w:header="0"/>
        </w:sectPr>
      </w:pPr>
    </w:p>
    <w:bookmarkStart w:id="140" w:name="page141"/>
    <w:bookmarkEnd w:id="140"/>
    <w:p>
      <w:pPr>
        <w:ind w:left="-300" w:firstLine="1843"/>
        <w:spacing w:after="0" w:line="268" w:lineRule="auto"/>
        <w:tabs>
          <w:tab w:leader="none" w:pos="2144"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Agreement expires pursuant to a Non-Renewal Termination described in Section 6(g), the parties’ employment relationship shall terminate on the last day of the then current Term of Employment without any notice.</w:t>
      </w:r>
    </w:p>
    <w:p>
      <w:pPr>
        <w:spacing w:after="0" w:line="160"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 Upon Termination.</w:t>
      </w:r>
    </w:p>
    <w:p>
      <w:pPr>
        <w:spacing w:after="0" w:line="204" w:lineRule="exact"/>
        <w:rPr>
          <w:rFonts w:ascii="Times New Roman" w:cs="Times New Roman" w:eastAsia="Times New Roman" w:hAnsi="Times New Roman"/>
          <w:sz w:val="20"/>
          <w:szCs w:val="20"/>
          <w:color w:val="auto"/>
        </w:rPr>
      </w:pPr>
    </w:p>
    <w:p>
      <w:pPr>
        <w:jc w:val="both"/>
        <w:ind w:left="-300" w:firstLine="1229"/>
        <w:spacing w:after="0" w:line="262" w:lineRule="auto"/>
        <w:tabs>
          <w:tab w:leader="none" w:pos="1541"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Due To Disability, Without Cause, or For Good Reason. </w:t>
      </w:r>
      <w:r>
        <w:rPr>
          <w:rFonts w:ascii="Times New Roman" w:cs="Times New Roman" w:eastAsia="Times New Roman" w:hAnsi="Times New Roman"/>
          <w:sz w:val="19"/>
          <w:szCs w:val="19"/>
          <w:color w:val="auto"/>
        </w:rPr>
        <w:t>If the Executive’s employment terminates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 provided that within sixty days following the Executive’s termination of employment (i) the Executive has executed and delivered to the Company a general release of claims against the Company and its subsidiaries, affiliates, stockholders, directors, officers, employees, agents, 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and (ii) the Release has become irrevocable:</w:t>
      </w:r>
    </w:p>
    <w:p>
      <w:pPr>
        <w:spacing w:after="0" w:line="173" w:lineRule="exact"/>
        <w:rPr>
          <w:rFonts w:ascii="Times New Roman" w:cs="Times New Roman" w:eastAsia="Times New Roman" w:hAnsi="Times New Roman"/>
          <w:sz w:val="19"/>
          <w:szCs w:val="19"/>
          <w:color w:val="auto"/>
        </w:rPr>
      </w:pPr>
    </w:p>
    <w:p>
      <w:pPr>
        <w:jc w:val="both"/>
        <w:ind w:left="-300" w:firstLine="1843"/>
        <w:spacing w:after="0" w:line="251" w:lineRule="auto"/>
        <w:tabs>
          <w:tab w:leader="none" w:pos="2148"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Commencing on the sixtieth day after the date of the Executive's termination of employment,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continue to pay to the Executive the 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178" w:lineRule="exact"/>
        <w:rPr>
          <w:rFonts w:ascii="Times New Roman" w:cs="Times New Roman" w:eastAsia="Times New Roman" w:hAnsi="Times New Roman"/>
          <w:sz w:val="20"/>
          <w:szCs w:val="20"/>
          <w:color w:val="auto"/>
        </w:rPr>
      </w:pPr>
    </w:p>
    <w:p>
      <w:pPr>
        <w:jc w:val="both"/>
        <w:ind w:left="-300" w:firstLine="1843"/>
        <w:spacing w:after="0" w:line="262" w:lineRule="auto"/>
        <w:tabs>
          <w:tab w:leader="none" w:pos="2151" w:val="left"/>
        </w:tabs>
        <w:numPr>
          <w:ilvl w:val="2"/>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Bonus. </w:t>
      </w:r>
      <w:r>
        <w:rPr>
          <w:rFonts w:ascii="Times New Roman" w:cs="Times New Roman" w:eastAsia="Times New Roman" w:hAnsi="Times New Roman"/>
          <w:sz w:val="19"/>
          <w:szCs w:val="19"/>
          <w:color w:val="auto"/>
        </w:rPr>
        <w:t>The Company shall continue to pay to the Executive an annual bonus through the remainder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of Employment then in effect; provided, however, that the amount of the annual bonus determined in accordance with this Section 8(a)(ii) for the fiscal year of the Company (“Fiscal Year”) in which such Term of Employment ends shall be prorated on the basis of the number of days of such Term of Employment occurring within such Fiscal Year. The amount of each annual bonus payable pursuant to this Section 8(a)(ii),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 shall be paid on the later of the date they would otherwise be paid in accordance with the applicable Company bonus plan or sixty days after the date of the Executive's termination of employment.</w:t>
      </w:r>
    </w:p>
    <w:p>
      <w:pPr>
        <w:spacing w:after="0" w:line="173" w:lineRule="exact"/>
        <w:rPr>
          <w:rFonts w:ascii="Times New Roman" w:cs="Times New Roman" w:eastAsia="Times New Roman" w:hAnsi="Times New Roman"/>
          <w:sz w:val="19"/>
          <w:szCs w:val="19"/>
          <w:color w:val="auto"/>
        </w:rPr>
      </w:pPr>
    </w:p>
    <w:p>
      <w:pPr>
        <w:jc w:val="both"/>
        <w:ind w:left="-300" w:firstLine="1843"/>
        <w:spacing w:after="0" w:line="262" w:lineRule="auto"/>
        <w:tabs>
          <w:tab w:leader="none" w:pos="2155"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640"/>
          </w:cols>
          <w:pgMar w:left="620" w:top="1311" w:right="639" w:bottom="1440" w:gutter="0" w:footer="0" w:header="0"/>
        </w:sectPr>
      </w:pPr>
    </w:p>
    <w:bookmarkStart w:id="141" w:name="page142"/>
    <w:bookmarkEnd w:id="141"/>
    <w:p>
      <w:pPr>
        <w:jc w:val="both"/>
        <w:ind w:left="-300" w:firstLine="1843"/>
        <w:spacing w:after="0" w:line="247" w:lineRule="auto"/>
        <w:tabs>
          <w:tab w:leader="none" w:pos="21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according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84" w:lineRule="exact"/>
        <w:rPr>
          <w:rFonts w:ascii="Times New Roman" w:cs="Times New Roman" w:eastAsia="Times New Roman" w:hAnsi="Times New Roman"/>
          <w:sz w:val="20"/>
          <w:szCs w:val="20"/>
          <w:color w:val="auto"/>
        </w:rPr>
      </w:pPr>
    </w:p>
    <w:p>
      <w:pPr>
        <w:jc w:val="both"/>
        <w:ind w:left="-300" w:firstLine="1843"/>
        <w:spacing w:after="0" w:line="262" w:lineRule="auto"/>
        <w:tabs>
          <w:tab w:leader="none" w:pos="2153"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Performance Share Awards. </w:t>
      </w:r>
      <w:r>
        <w:rPr>
          <w:rFonts w:ascii="Times New Roman" w:cs="Times New Roman" w:eastAsia="Times New Roman" w:hAnsi="Times New Roman"/>
          <w:sz w:val="19"/>
          <w:szCs w:val="19"/>
          <w:color w:val="auto"/>
        </w:rPr>
        <w:t>On the Performance Share Vesting Date (as defined in the Executive's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Grant of Performance Shares and Performance Share Agreement from the Company (collectively the "</w:t>
      </w:r>
      <w:r>
        <w:rPr>
          <w:rFonts w:ascii="Times New Roman" w:cs="Times New Roman" w:eastAsia="Times New Roman" w:hAnsi="Times New Roman"/>
          <w:sz w:val="19"/>
          <w:szCs w:val="19"/>
          <w:u w:val="single" w:color="auto"/>
          <w:color w:val="auto"/>
        </w:rPr>
        <w:t>Performance Share Agreement</w:t>
      </w:r>
      <w:r>
        <w:rPr>
          <w:rFonts w:ascii="Times New Roman" w:cs="Times New Roman" w:eastAsia="Times New Roman" w:hAnsi="Times New Roman"/>
          <w:sz w:val="19"/>
          <w:szCs w:val="19"/>
          <w:color w:val="auto"/>
        </w:rPr>
        <w:t>")) next following the Executive's date of termination of employment, the number of Performance Shares that shall become Vested Performance Shares (as defined in the Performance Share Agreement)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73" w:lineRule="exact"/>
        <w:rPr>
          <w:rFonts w:ascii="Times New Roman" w:cs="Times New Roman" w:eastAsia="Times New Roman" w:hAnsi="Times New Roman"/>
          <w:sz w:val="19"/>
          <w:szCs w:val="19"/>
          <w:color w:val="auto"/>
        </w:rPr>
      </w:pPr>
    </w:p>
    <w:p>
      <w:pPr>
        <w:jc w:val="both"/>
        <w:ind w:left="-300" w:firstLine="1843"/>
        <w:spacing w:after="0" w:line="255" w:lineRule="auto"/>
        <w:tabs>
          <w:tab w:leader="none" w:pos="21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160" w:lineRule="exact"/>
        <w:rPr>
          <w:rFonts w:ascii="Times New Roman" w:cs="Times New Roman" w:eastAsia="Times New Roman" w:hAnsi="Times New Roman"/>
          <w:sz w:val="20"/>
          <w:szCs w:val="20"/>
          <w:color w:val="auto"/>
        </w:rPr>
      </w:pPr>
    </w:p>
    <w:p>
      <w:pPr>
        <w:jc w:val="both"/>
        <w:ind w:left="-300" w:firstLine="1843"/>
        <w:spacing w:after="0" w:line="252" w:lineRule="auto"/>
        <w:tabs>
          <w:tab w:leader="none" w:pos="2147"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 dental, 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a dependent will end when the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640"/>
          </w:cols>
          <w:pgMar w:left="620" w:top="1307" w:right="639" w:bottom="1440" w:gutter="0" w:footer="0" w:header="0"/>
        </w:sectPr>
      </w:pPr>
    </w:p>
    <w:bookmarkStart w:id="142" w:name="page143"/>
    <w:bookmarkEnd w:id="142"/>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the lesser of (A) 18 months after the termination of the Executive’s employment or (B) the remainder of the Term of Employment, and </w:t>
      </w:r>
      <w:r>
        <w:rPr>
          <w:rFonts w:ascii="Times New Roman" w:cs="Times New Roman" w:eastAsia="Times New Roman" w:hAnsi="Times New Roman"/>
          <w:sz w:val="19"/>
          <w:szCs w:val="19"/>
          <w:b w:val="1"/>
          <w:bCs w:val="1"/>
          <w:u w:val="single" w:color="auto"/>
          <w:color w:val="auto"/>
        </w:rPr>
        <w:t>provided further</w:t>
      </w:r>
      <w:r>
        <w:rPr>
          <w:rFonts w:ascii="Times New Roman" w:cs="Times New Roman" w:eastAsia="Times New Roman" w:hAnsi="Times New Roman"/>
          <w:sz w:val="19"/>
          <w:szCs w:val="19"/>
          <w:color w:val="auto"/>
        </w:rPr>
        <w:t xml:space="preserve"> that (1) any such health care coverage or reimbursement for health care coverage shall cease at such time that the Executive becomes eligible for health care coverage through another employer and (2) 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60" w:lineRule="exact"/>
        <w:rPr>
          <w:sz w:val="20"/>
          <w:szCs w:val="20"/>
          <w:color w:val="auto"/>
        </w:rPr>
      </w:pPr>
    </w:p>
    <w:p>
      <w:pPr>
        <w:jc w:val="both"/>
        <w:ind w:right="20" w:firstLine="613"/>
        <w:spacing w:after="0" w:line="281" w:lineRule="auto"/>
        <w:rPr>
          <w:sz w:val="20"/>
          <w:szCs w:val="20"/>
          <w:color w:val="auto"/>
        </w:rPr>
      </w:pPr>
      <w:r>
        <w:rPr>
          <w:rFonts w:ascii="Times New Roman" w:cs="Times New Roman" w:eastAsia="Times New Roman" w:hAnsi="Times New Roman"/>
          <w:sz w:val="20"/>
          <w:szCs w:val="20"/>
          <w:color w:val="auto"/>
        </w:rPr>
        <w:t>The Company shall have no further obligations to the Executive as a result of termination of employment described in this Section 8(a) except as set forth in Section 13.</w:t>
      </w:r>
    </w:p>
    <w:p>
      <w:pPr>
        <w:spacing w:after="0" w:line="135" w:lineRule="exact"/>
        <w:rPr>
          <w:sz w:val="20"/>
          <w:szCs w:val="20"/>
          <w:color w:val="auto"/>
        </w:rPr>
      </w:pPr>
    </w:p>
    <w:p>
      <w:pPr>
        <w:jc w:val="both"/>
        <w:ind w:firstLine="1229"/>
        <w:spacing w:after="0" w:line="248" w:lineRule="auto"/>
        <w:tabs>
          <w:tab w:leader="none" w:pos="1839"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or Voluntary Termination. </w:t>
      </w:r>
      <w:r>
        <w:rPr>
          <w:rFonts w:ascii="Times New Roman" w:cs="Times New Roman" w:eastAsia="Times New Roman" w:hAnsi="Times New Roman"/>
          <w:sz w:val="20"/>
          <w:szCs w:val="20"/>
          <w:color w:val="auto"/>
        </w:rPr>
        <w:t>If the Executive’s employment terminates pursuant to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 terms, any restricted stock, performance share awards, or other equity awards that were granted to the Executive by the Company 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179" w:lineRule="exact"/>
        <w:rPr>
          <w:rFonts w:ascii="Times New Roman" w:cs="Times New Roman" w:eastAsia="Times New Roman" w:hAnsi="Times New Roman"/>
          <w:sz w:val="20"/>
          <w:szCs w:val="20"/>
          <w:color w:val="auto"/>
        </w:rPr>
      </w:pPr>
    </w:p>
    <w:p>
      <w:pPr>
        <w:jc w:val="both"/>
        <w:ind w:firstLine="1229"/>
        <w:spacing w:after="0" w:line="262" w:lineRule="auto"/>
        <w:tabs>
          <w:tab w:leader="none" w:pos="1841"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Death. </w:t>
      </w:r>
      <w:r>
        <w:rPr>
          <w:rFonts w:ascii="Times New Roman" w:cs="Times New Roman" w:eastAsia="Times New Roman" w:hAnsi="Times New Roman"/>
          <w:sz w:val="19"/>
          <w:szCs w:val="19"/>
          <w:color w:val="auto"/>
        </w:rPr>
        <w:t>If the Executive’s employment terminates pursuant to Section 6(a) [Death], (i) the Executive’s designated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pro-rated for the number of days the Executive is employed during such fiscal year until the Executive’s death; (iii) any shares of restricted stock granted to the Executive by the Company at least 12 months prior to the Executive’s date of death that are unvested as of such date shall immediately become fully vested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940"/>
          </w:cols>
          <w:pgMar w:left="320" w:top="1311" w:right="639" w:bottom="1440" w:gutter="0" w:footer="0" w:header="0"/>
        </w:sectPr>
      </w:pPr>
    </w:p>
    <w:bookmarkStart w:id="143" w:name="page144"/>
    <w:bookmarkEnd w:id="143"/>
    <w:p>
      <w:pPr>
        <w:jc w:val="both"/>
        <w:spacing w:after="0" w:line="254" w:lineRule="auto"/>
        <w:rPr>
          <w:sz w:val="20"/>
          <w:szCs w:val="20"/>
          <w:color w:val="auto"/>
        </w:rPr>
      </w:pPr>
      <w:r>
        <w:rPr>
          <w:rFonts w:ascii="Times New Roman" w:cs="Times New Roman" w:eastAsia="Times New Roman" w:hAnsi="Times New Roman"/>
          <w:sz w:val="20"/>
          <w:szCs w:val="20"/>
          <w:color w:val="auto"/>
        </w:rPr>
        <w:t>any shares of restricted stock granted to the Executive by the Company within the 12-month period ending on the Executive’s date of death that are unvested as of such date shall automatically be forfeited and the Executive shall have no further rights with respect to such restricted stock; and (iv) the Company shall waive any reacquisition or repayment rights for dividends paid on restricted stock prior to the Executive’s death.</w:t>
      </w:r>
    </w:p>
    <w:p>
      <w:pPr>
        <w:spacing w:after="0" w:line="161" w:lineRule="exact"/>
        <w:rPr>
          <w:sz w:val="20"/>
          <w:szCs w:val="20"/>
          <w:color w:val="auto"/>
        </w:rPr>
      </w:pPr>
    </w:p>
    <w:p>
      <w:pPr>
        <w:jc w:val="both"/>
        <w:ind w:firstLine="1844"/>
        <w:spacing w:after="0" w:line="249" w:lineRule="auto"/>
        <w:tabs>
          <w:tab w:leader="none" w:pos="2449"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next following the Executive's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80" w:lineRule="exact"/>
        <w:rPr>
          <w:rFonts w:ascii="Times New Roman" w:cs="Times New Roman" w:eastAsia="Times New Roman" w:hAnsi="Times New Roman"/>
          <w:sz w:val="20"/>
          <w:szCs w:val="20"/>
          <w:color w:val="auto"/>
        </w:rPr>
      </w:pPr>
    </w:p>
    <w:p>
      <w:pPr>
        <w:jc w:val="both"/>
        <w:ind w:firstLine="1844"/>
        <w:spacing w:after="0" w:line="262" w:lineRule="auto"/>
        <w:tabs>
          <w:tab w:leader="none" w:pos="2452"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dies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Performance Share Vesting Date, all Unvested Common Shares issued in settlement of the Performance Share Award shall become vested in full effective as of the date of such termination.</w:t>
      </w:r>
    </w:p>
    <w:p>
      <w:pPr>
        <w:spacing w:after="0" w:line="154" w:lineRule="exact"/>
        <w:rPr>
          <w:rFonts w:ascii="Times New Roman" w:cs="Times New Roman" w:eastAsia="Times New Roman" w:hAnsi="Times New Roman"/>
          <w:sz w:val="20"/>
          <w:szCs w:val="20"/>
          <w:color w:val="auto"/>
        </w:rPr>
      </w:pPr>
    </w:p>
    <w:p>
      <w:pPr>
        <w:jc w:val="both"/>
        <w:ind w:firstLine="1230"/>
        <w:spacing w:after="0" w:line="252" w:lineRule="auto"/>
        <w:tabs>
          <w:tab w:leader="none" w:pos="18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Agreement expires as set forth in Section 6(g) [Non-Renewal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set forth in Sections 8(d)(i) through (v), provided that within sixty days following the Executive’s termination of employment (i) the Executive has executed and delivered the Release to the Company, and (ii) the Release has become irrevocable:</w:t>
      </w:r>
    </w:p>
    <w:p>
      <w:pPr>
        <w:spacing w:after="0" w:line="162" w:lineRule="exact"/>
        <w:rPr>
          <w:rFonts w:ascii="Times New Roman" w:cs="Times New Roman" w:eastAsia="Times New Roman" w:hAnsi="Times New Roman"/>
          <w:sz w:val="20"/>
          <w:szCs w:val="20"/>
          <w:color w:val="auto"/>
        </w:rPr>
      </w:pPr>
    </w:p>
    <w:p>
      <w:pPr>
        <w:jc w:val="both"/>
        <w:ind w:firstLine="1844"/>
        <w:spacing w:after="0" w:line="249" w:lineRule="auto"/>
        <w:tabs>
          <w:tab w:leader="none" w:pos="2449"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Company shall pay the Executive an annual bonus for the fiscal year of the Company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in which the date of the Executive’s termination of employment occurs, which shall be prorated for the number of days of such Fiscal Year that the Executive is employed by the Company. The amount of such annual bonus, prior to proration, shall be equal to the annual bonus that the Executive would have earned under the Company’s bonus plan for the Fiscal Year in which the Executive’s termination of employment occurs had the Executive remained in its employment, contingent on the relevant annual bonus plan performance goals for the year in which the Executive terminates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 shall be paid on the later of the date they would otherwise be paid in accordance with the applicable Company bonus plan or sixty days after the date of the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940"/>
          </w:cols>
          <w:pgMar w:left="320" w:top="1311" w:right="639" w:bottom="1440" w:gutter="0" w:footer="0" w:header="0"/>
        </w:sectPr>
      </w:pPr>
    </w:p>
    <w:bookmarkStart w:id="144" w:name="page145"/>
    <w:bookmarkEnd w:id="144"/>
    <w:p>
      <w:pPr>
        <w:jc w:val="both"/>
        <w:ind w:left="-300" w:firstLine="1844"/>
        <w:spacing w:after="0" w:line="262" w:lineRule="auto"/>
        <w:tabs>
          <w:tab w:leader="none" w:pos="215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54" w:lineRule="exact"/>
        <w:rPr>
          <w:rFonts w:ascii="Times New Roman" w:cs="Times New Roman" w:eastAsia="Times New Roman" w:hAnsi="Times New Roman"/>
          <w:sz w:val="20"/>
          <w:szCs w:val="20"/>
          <w:color w:val="auto"/>
        </w:rPr>
      </w:pPr>
    </w:p>
    <w:p>
      <w:pPr>
        <w:jc w:val="both"/>
        <w:ind w:left="-300" w:firstLine="1843"/>
        <w:spacing w:after="0" w:line="248" w:lineRule="auto"/>
        <w:tabs>
          <w:tab w:leader="none" w:pos="215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which have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365-day year). The pro rata amount of shares vesting through the date of non-renewal shall be calculated by multiplying the number of unvested shares scheduled to vest in each respective vesting year by the ratio of the number of days from the date of grant through the date of non-renewal,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72" w:lineRule="exact"/>
        <w:rPr>
          <w:rFonts w:ascii="Times New Roman" w:cs="Times New Roman" w:eastAsia="Times New Roman" w:hAnsi="Times New Roman"/>
          <w:sz w:val="20"/>
          <w:szCs w:val="20"/>
          <w:color w:val="auto"/>
        </w:rPr>
      </w:pPr>
    </w:p>
    <w:p>
      <w:pPr>
        <w:jc w:val="both"/>
        <w:ind w:left="-300" w:firstLine="1843"/>
        <w:spacing w:after="0" w:line="249" w:lineRule="auto"/>
        <w:tabs>
          <w:tab w:leader="none" w:pos="21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on or next following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of employment,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80" w:lineRule="exact"/>
        <w:rPr>
          <w:rFonts w:ascii="Times New Roman" w:cs="Times New Roman" w:eastAsia="Times New Roman" w:hAnsi="Times New Roman"/>
          <w:sz w:val="20"/>
          <w:szCs w:val="20"/>
          <w:color w:val="auto"/>
        </w:rPr>
      </w:pPr>
    </w:p>
    <w:p>
      <w:pPr>
        <w:jc w:val="both"/>
        <w:ind w:left="-300" w:firstLine="1843"/>
        <w:spacing w:after="0" w:line="256" w:lineRule="auto"/>
        <w:tabs>
          <w:tab w:leader="none" w:pos="215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employment pursuant to Section 6(g) after the Performance Share Vesting Date, all Unvested Common Shares issued in settlement of the Performance Share Award shall become vested in full effective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640"/>
          </w:cols>
          <w:pgMar w:left="620" w:top="1307" w:right="639" w:bottom="1440" w:gutter="0" w:footer="0" w:header="0"/>
        </w:sectPr>
      </w:pPr>
    </w:p>
    <w:bookmarkStart w:id="145" w:name="page146"/>
    <w:bookmarkEnd w:id="145"/>
    <w:p>
      <w:pPr>
        <w:ind w:left="1518" w:hanging="290"/>
        <w:spacing w:after="0"/>
        <w:tabs>
          <w:tab w:leader="none" w:pos="151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Change in Control Provisions.</w:t>
      </w:r>
    </w:p>
    <w:p>
      <w:pPr>
        <w:spacing w:after="0" w:line="204" w:lineRule="exact"/>
        <w:rPr>
          <w:rFonts w:ascii="Times New Roman" w:cs="Times New Roman" w:eastAsia="Times New Roman" w:hAnsi="Times New Roman"/>
          <w:sz w:val="20"/>
          <w:szCs w:val="20"/>
          <w:color w:val="auto"/>
        </w:rPr>
      </w:pPr>
    </w:p>
    <w:p>
      <w:pPr>
        <w:jc w:val="both"/>
        <w:ind w:left="-2" w:firstLine="1843"/>
        <w:spacing w:after="0" w:line="263" w:lineRule="auto"/>
        <w:tabs>
          <w:tab w:leader="none" w:pos="2445" w:val="left"/>
        </w:tabs>
        <w:numPr>
          <w:ilvl w:val="2"/>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of Employment in Connection with a Change in Control. </w:t>
      </w:r>
      <w:r>
        <w:rPr>
          <w:rFonts w:ascii="Times New Roman" w:cs="Times New Roman" w:eastAsia="Times New Roman" w:hAnsi="Times New Roman"/>
          <w:sz w:val="19"/>
          <w:szCs w:val="19"/>
          <w:color w:val="auto"/>
        </w:rPr>
        <w:t>If the Executive’s employment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terminated either by the Company Without Cause (as defined in Section 6(d)) or by the Executive for Good Reason (as defined in Section 6(e)(ii)), in either case within the period commencing one month prior to and ending twelve months following a Change in Control, then, subject to Section 22 [Compliance with Section 409A], the Executive shall be entitled to the compensation and benefits set forth in Sections 8(e)(i)(a) through (e) (in addition to any other payments or benefits provided under this Agreement), provided that within sixty days following the Executive’s termination of employment (i) the Executive has executed and delivered the Release to the Company, and</w:t>
      </w:r>
    </w:p>
    <w:p>
      <w:pPr>
        <w:spacing w:after="0" w:line="1" w:lineRule="exact"/>
        <w:rPr>
          <w:rFonts w:ascii="Times New Roman" w:cs="Times New Roman" w:eastAsia="Times New Roman" w:hAnsi="Times New Roman"/>
          <w:sz w:val="19"/>
          <w:szCs w:val="19"/>
          <w:color w:val="auto"/>
        </w:rPr>
      </w:pPr>
    </w:p>
    <w:p>
      <w:pPr>
        <w:ind w:left="298" w:hanging="298"/>
        <w:spacing w:after="0"/>
        <w:tabs>
          <w:tab w:leader="none" w:pos="29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has become irrevocable:</w:t>
      </w:r>
    </w:p>
    <w:p>
      <w:pPr>
        <w:spacing w:after="0" w:line="187" w:lineRule="exact"/>
        <w:rPr>
          <w:rFonts w:ascii="Times New Roman" w:cs="Times New Roman" w:eastAsia="Times New Roman" w:hAnsi="Times New Roman"/>
          <w:sz w:val="20"/>
          <w:szCs w:val="20"/>
          <w:color w:val="auto"/>
        </w:rPr>
      </w:pPr>
    </w:p>
    <w:p>
      <w:pPr>
        <w:jc w:val="both"/>
        <w:ind w:left="-2" w:firstLine="3072"/>
        <w:spacing w:after="0" w:line="255" w:lineRule="auto"/>
        <w:tabs>
          <w:tab w:leader="none" w:pos="3677" w:val="left"/>
        </w:tabs>
        <w:numPr>
          <w:ilvl w:val="3"/>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Executive shall be entitled to a cash payment equal to 2.99 times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then-current annual base salary, which shall be paid to the Executive sixty days following such termination of employment. The payment under this Section 8(e)(i)(a) shall take the place of any payment under Section 8(a)(i) and the Executive shall not be entitled to receive a payment under Section 8(a)(i) if the Executive is entitled to a payment under this Section 8(e)(i)(a).</w:t>
      </w:r>
    </w:p>
    <w:p>
      <w:pPr>
        <w:spacing w:after="0" w:line="160" w:lineRule="exact"/>
        <w:rPr>
          <w:rFonts w:ascii="Times New Roman" w:cs="Times New Roman" w:eastAsia="Times New Roman" w:hAnsi="Times New Roman"/>
          <w:sz w:val="20"/>
          <w:szCs w:val="20"/>
          <w:color w:val="auto"/>
        </w:rPr>
      </w:pPr>
    </w:p>
    <w:p>
      <w:pPr>
        <w:jc w:val="both"/>
        <w:ind w:left="-2" w:firstLine="3072"/>
        <w:spacing w:after="0" w:line="254" w:lineRule="auto"/>
        <w:tabs>
          <w:tab w:leader="none" w:pos="3675" w:val="left"/>
        </w:tabs>
        <w:numPr>
          <w:ilvl w:val="3"/>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Executive shall be entitled to a cash payment equal to 2.99 times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target annual bonus for the Company’s fiscal year then in effect on the date termination of employment occurs, which shall be paid to the Executive sixty days following such termination of employment. The payment under this Section 8(e)(i)(b) shall take the place of any payment under Section 8(a)(ii) and the Executive shall not be entitled to receive a payment under Section 8(a)(ii) if the Executive is entitled to a payment under this Section 8(e)(i)(b).</w:t>
      </w:r>
    </w:p>
    <w:p>
      <w:pPr>
        <w:spacing w:after="0" w:line="177" w:lineRule="exact"/>
        <w:rPr>
          <w:rFonts w:ascii="Times New Roman" w:cs="Times New Roman" w:eastAsia="Times New Roman" w:hAnsi="Times New Roman"/>
          <w:sz w:val="20"/>
          <w:szCs w:val="20"/>
          <w:color w:val="auto"/>
        </w:rPr>
      </w:pPr>
    </w:p>
    <w:p>
      <w:pPr>
        <w:jc w:val="both"/>
        <w:ind w:left="-2" w:firstLine="3072"/>
        <w:spacing w:after="0" w:line="250" w:lineRule="auto"/>
        <w:tabs>
          <w:tab w:leader="none" w:pos="3677" w:val="left"/>
        </w:tabs>
        <w:numPr>
          <w:ilvl w:val="3"/>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w:t>
      </w:r>
      <w:r>
        <w:rPr>
          <w:rFonts w:ascii="Times New Roman" w:cs="Times New Roman" w:eastAsia="Times New Roman" w:hAnsi="Times New Roman"/>
          <w:sz w:val="20"/>
          <w:szCs w:val="20"/>
          <w:color w:val="auto"/>
        </w:rPr>
        <w:t>All shares of restricted stock granted to the Executive by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vested in full upon the termination. Additionally, if the termination occurs prior to the Performance Share Vesting Date, 100% of the Target Number of Performance Shares shall be deemed Vested Performance Shares effective as of the date of the termination. All Unvested Common Shares issued in settlement of the Performance Share Award shall become vested effective as of the date of such termination. Except as set forth in this Section 8(e),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164" w:lineRule="exact"/>
        <w:rPr>
          <w:rFonts w:ascii="Times New Roman" w:cs="Times New Roman" w:eastAsia="Times New Roman" w:hAnsi="Times New Roman"/>
          <w:sz w:val="20"/>
          <w:szCs w:val="20"/>
          <w:color w:val="auto"/>
        </w:rPr>
      </w:pPr>
    </w:p>
    <w:p>
      <w:pPr>
        <w:jc w:val="both"/>
        <w:ind w:left="-2" w:firstLine="3072"/>
        <w:spacing w:after="0" w:line="262" w:lineRule="auto"/>
        <w:tabs>
          <w:tab w:leader="none" w:pos="3675" w:val="left"/>
        </w:tabs>
        <w:numPr>
          <w:ilvl w:val="3"/>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Estate Planning. </w:t>
      </w:r>
      <w:r>
        <w:rPr>
          <w:rFonts w:ascii="Times New Roman" w:cs="Times New Roman" w:eastAsia="Times New Roman" w:hAnsi="Times New Roman"/>
          <w:sz w:val="20"/>
          <w:szCs w:val="20"/>
          <w:color w:val="auto"/>
        </w:rPr>
        <w:t>The Executive shall be entitled to reimbursement of the Executive’s 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54" w:lineRule="exact"/>
        <w:rPr>
          <w:rFonts w:ascii="Times New Roman" w:cs="Times New Roman" w:eastAsia="Times New Roman" w:hAnsi="Times New Roman"/>
          <w:sz w:val="20"/>
          <w:szCs w:val="20"/>
          <w:color w:val="auto"/>
        </w:rPr>
      </w:pPr>
    </w:p>
    <w:p>
      <w:pPr>
        <w:jc w:val="both"/>
        <w:ind w:left="-2" w:firstLine="3072"/>
        <w:spacing w:after="0" w:line="254" w:lineRule="auto"/>
        <w:tabs>
          <w:tab w:leader="none" w:pos="3677" w:val="left"/>
        </w:tabs>
        <w:numPr>
          <w:ilvl w:val="3"/>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Executive with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938"/>
          </w:cols>
          <w:pgMar w:left="322" w:top="1307" w:right="639" w:bottom="1440" w:gutter="0" w:footer="0" w:header="0"/>
        </w:sectPr>
      </w:pPr>
    </w:p>
    <w:bookmarkStart w:id="146" w:name="page147"/>
    <w:bookmarkEnd w:id="146"/>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coverage, if earlier than the Term of Employment end date; </w:t>
      </w:r>
      <w:r>
        <w:rPr>
          <w:rFonts w:ascii="Times New Roman" w:cs="Times New Roman" w:eastAsia="Times New Roman" w:hAnsi="Times New Roman"/>
          <w:sz w:val="19"/>
          <w:szCs w:val="19"/>
          <w:b w:val="1"/>
          <w:bCs w:val="1"/>
          <w:u w:val="single" w:color="auto"/>
          <w:color w:val="auto"/>
        </w:rPr>
        <w:t>provided, however</w:t>
      </w:r>
      <w:r>
        <w:rPr>
          <w:rFonts w:ascii="Times New Roman" w:cs="Times New Roman" w:eastAsia="Times New Roman" w:hAnsi="Times New Roman"/>
          <w:sz w:val="19"/>
          <w:szCs w:val="19"/>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18 months after the termination of the Executive’s employment; and </w:t>
      </w:r>
      <w:r>
        <w:rPr>
          <w:rFonts w:ascii="Times New Roman" w:cs="Times New Roman" w:eastAsia="Times New Roman" w:hAnsi="Times New Roman"/>
          <w:sz w:val="19"/>
          <w:szCs w:val="19"/>
          <w:b w:val="1"/>
          <w:bCs w:val="1"/>
          <w:u w:val="single" w:color="auto"/>
          <w:color w:val="auto"/>
        </w:rPr>
        <w:t>provided further</w:t>
      </w:r>
      <w:r>
        <w:rPr>
          <w:rFonts w:ascii="Times New Roman" w:cs="Times New Roman" w:eastAsia="Times New Roman" w:hAnsi="Times New Roman"/>
          <w:sz w:val="19"/>
          <w:szCs w:val="19"/>
          <w:color w:val="auto"/>
        </w:rPr>
        <w:t xml:space="preserve"> that</w:t>
      </w:r>
    </w:p>
    <w:p>
      <w:pPr>
        <w:spacing w:after="0" w:line="2" w:lineRule="exact"/>
        <w:rPr>
          <w:sz w:val="20"/>
          <w:szCs w:val="20"/>
          <w:color w:val="auto"/>
        </w:rPr>
      </w:pPr>
    </w:p>
    <w:p>
      <w:pPr>
        <w:jc w:val="both"/>
        <w:ind w:firstLine="2"/>
        <w:spacing w:after="0" w:line="247" w:lineRule="auto"/>
        <w:tabs>
          <w:tab w:leader="none" w:pos="28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health care coverage or reimbursement for health care coverage shall cease at such time that the Executive becomes eligible for health care coverage 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80" w:lineRule="exact"/>
        <w:rPr>
          <w:rFonts w:ascii="Times New Roman" w:cs="Times New Roman" w:eastAsia="Times New Roman" w:hAnsi="Times New Roman"/>
          <w:sz w:val="20"/>
          <w:szCs w:val="20"/>
          <w:color w:val="auto"/>
        </w:rPr>
      </w:pPr>
    </w:p>
    <w:p>
      <w:pPr>
        <w:ind w:firstLine="1843"/>
        <w:spacing w:after="0" w:line="272" w:lineRule="auto"/>
        <w:tabs>
          <w:tab w:leader="none" w:pos="2451"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Defined.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one or more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with respect to the Company:</w:t>
      </w:r>
    </w:p>
    <w:p>
      <w:pPr>
        <w:spacing w:after="0" w:line="160" w:lineRule="exact"/>
        <w:rPr>
          <w:rFonts w:ascii="Times New Roman" w:cs="Times New Roman" w:eastAsia="Times New Roman" w:hAnsi="Times New Roman"/>
          <w:sz w:val="20"/>
          <w:szCs w:val="20"/>
          <w:color w:val="auto"/>
        </w:rPr>
      </w:pPr>
    </w:p>
    <w:p>
      <w:pPr>
        <w:jc w:val="both"/>
        <w:ind w:firstLine="2458"/>
        <w:spacing w:after="0" w:line="247" w:lineRule="auto"/>
        <w:tabs>
          <w:tab w:leader="none" w:pos="3068"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Securities Exchange Act of 1934, as amended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 connection with a public offering of securities; (C) any acquisition by the Company; (D) any acquisition by a trustee or other fiduciary under an employee benefit plan of the Company; or (E) any acquisition by an entity owned directly or indirectly by the stockholders of the Company in substantially the same proportions as their ownership of the voting securities of the Company; or</w:t>
      </w:r>
    </w:p>
    <w:p>
      <w:pPr>
        <w:spacing w:after="0" w:line="184" w:lineRule="exact"/>
        <w:rPr>
          <w:rFonts w:ascii="Times New Roman" w:cs="Times New Roman" w:eastAsia="Times New Roman" w:hAnsi="Times New Roman"/>
          <w:sz w:val="20"/>
          <w:szCs w:val="20"/>
          <w:color w:val="auto"/>
        </w:rPr>
      </w:pPr>
    </w:p>
    <w:p>
      <w:pPr>
        <w:jc w:val="both"/>
        <w:ind w:firstLine="2458"/>
        <w:spacing w:after="0" w:line="247" w:lineRule="auto"/>
        <w:tabs>
          <w:tab w:leader="none" w:pos="3068"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following events (“</w:t>
      </w:r>
      <w:r>
        <w:rPr>
          <w:rFonts w:ascii="Times New Roman" w:cs="Times New Roman" w:eastAsia="Times New Roman" w:hAnsi="Times New Roman"/>
          <w:sz w:val="20"/>
          <w:szCs w:val="20"/>
          <w:u w:val="single" w:color="auto"/>
          <w:color w:val="auto"/>
        </w:rPr>
        <w:t>Ownership Change Event</w:t>
      </w:r>
      <w:r>
        <w:rPr>
          <w:rFonts w:ascii="Times New Roman" w:cs="Times New Roman" w:eastAsia="Times New Roman" w:hAnsi="Times New Roman"/>
          <w:sz w:val="20"/>
          <w:szCs w:val="20"/>
          <w:color w:val="auto"/>
        </w:rPr>
        <w:t>”) or series of related Ownership Change Events (collectively, a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 (B) 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the case may be;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940"/>
          </w:cols>
          <w:pgMar w:left="320" w:top="1307" w:right="639" w:bottom="1440" w:gutter="0" w:footer="0" w:header="0"/>
        </w:sectPr>
      </w:pPr>
    </w:p>
    <w:bookmarkStart w:id="147" w:name="page148"/>
    <w:bookmarkEnd w:id="147"/>
    <w:p>
      <w:pPr>
        <w:jc w:val="both"/>
        <w:ind w:left="-2" w:firstLine="2458"/>
        <w:spacing w:after="0" w:line="261" w:lineRule="auto"/>
        <w:tabs>
          <w:tab w:leader="none" w:pos="3066" w:val="left"/>
        </w:tabs>
        <w:numPr>
          <w:ilvl w:val="2"/>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w:t>
      </w:r>
    </w:p>
    <w:p>
      <w:pPr>
        <w:spacing w:after="0" w:line="2" w:lineRule="exact"/>
        <w:rPr>
          <w:rFonts w:ascii="Times New Roman" w:cs="Times New Roman" w:eastAsia="Times New Roman" w:hAnsi="Times New Roman"/>
          <w:sz w:val="19"/>
          <w:szCs w:val="19"/>
          <w:color w:val="auto"/>
        </w:rPr>
      </w:pPr>
    </w:p>
    <w:p>
      <w:pPr>
        <w:ind w:left="278" w:hanging="278"/>
        <w:spacing w:after="0"/>
        <w:tabs>
          <w:tab w:leader="none" w:pos="278"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related and to be treated in the aggregate as a single Change in Control, and its determination shall be final, binding and conclusive.</w:t>
      </w:r>
    </w:p>
    <w:p>
      <w:pPr>
        <w:spacing w:after="0" w:line="198" w:lineRule="exact"/>
        <w:rPr>
          <w:rFonts w:ascii="Times New Roman" w:cs="Times New Roman" w:eastAsia="Times New Roman" w:hAnsi="Times New Roman"/>
          <w:sz w:val="19"/>
          <w:szCs w:val="19"/>
          <w:color w:val="auto"/>
        </w:rPr>
      </w:pPr>
    </w:p>
    <w:p>
      <w:pPr>
        <w:jc w:val="both"/>
        <w:ind w:left="-2" w:firstLine="1843"/>
        <w:spacing w:after="0" w:line="260" w:lineRule="auto"/>
        <w:tabs>
          <w:tab w:leader="none" w:pos="2452"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Excise Tax - Best After-Tax Result. </w:t>
      </w:r>
      <w:r>
        <w:rPr>
          <w:rFonts w:ascii="Times New Roman" w:cs="Times New Roman" w:eastAsia="Times New Roman" w:hAnsi="Times New Roman"/>
          <w:sz w:val="19"/>
          <w:szCs w:val="19"/>
          <w:color w:val="auto"/>
        </w:rPr>
        <w:t>In the event that any payment or benefit received or to be received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Executive pursuant to this Agreement or otherwise (“</w:t>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then, subject to the provisions of Section 8(e)(iv), such Payments shall be either (1) provided in full pursuant to the terms of this Agreement or any other applicable agreement, or (2) provided as to such lesser extent which would result in no portion of such Payments being subject to the Excise Tax (“</w:t>
      </w:r>
      <w:r>
        <w:rPr>
          <w:rFonts w:ascii="Times New Roman" w:cs="Times New Roman" w:eastAsia="Times New Roman" w:hAnsi="Times New Roman"/>
          <w:sz w:val="19"/>
          <w:szCs w:val="19"/>
          <w:u w:val="single" w:color="auto"/>
          <w:color w:val="auto"/>
        </w:rPr>
        <w:t>Reduced Amount</w:t>
      </w:r>
      <w:r>
        <w:rPr>
          <w:rFonts w:ascii="Times New Roman" w:cs="Times New Roman" w:eastAsia="Times New Roman" w:hAnsi="Times New Roman"/>
          <w:sz w:val="19"/>
          <w:szCs w:val="19"/>
          <w:color w:val="auto"/>
        </w:rPr>
        <w:t>”), whichever of the foregoing amounts, taking into account the applicable federal, state, local, and foreign income, employment and other taxes and the Excise Tax (including, without limitation, any interest or penalties on such taxes), results in the receipt by the Executive, on an after-tax basis, of the greatest amount of payments and benefits provided for hereunder or otherwise, notwithstanding that all or some portion of such Payments may be subject to the Excise Tax. If the Executive’s payments or benefits are delivered to a lesser extent in accordance with this clause (2) above, then the Executive’s aggregate benefits shall be reduced in the following order: (i) cash severance pay that is exempt from Section 409A; (ii) any other cash severance pay; (iii) reimbursement payments under Section 4(c), above; (iv) any restricted stock; (v) any equity awards other than restricted stock and stock options; and (vi) stock options. Unless the Company and the Executive otherwise agree in writing, any determination required under this Section shall be made by an independent advisor designated by the Company and reasonably acceptable to the Executive (“</w:t>
      </w:r>
      <w:r>
        <w:rPr>
          <w:rFonts w:ascii="Times New Roman" w:cs="Times New Roman" w:eastAsia="Times New Roman" w:hAnsi="Times New Roman"/>
          <w:sz w:val="19"/>
          <w:szCs w:val="19"/>
          <w:u w:val="single" w:color="auto"/>
          <w:color w:val="auto"/>
        </w:rPr>
        <w:t>Independent Advisor</w:t>
      </w:r>
      <w:r>
        <w:rPr>
          <w:rFonts w:ascii="Times New Roman" w:cs="Times New Roman" w:eastAsia="Times New Roman" w:hAnsi="Times New Roman"/>
          <w:sz w:val="19"/>
          <w:szCs w:val="19"/>
          <w:color w:val="auto"/>
        </w:rPr>
        <w:t>”), whose determination shall be conclusive and binding upon the Executive and the Company for all purposes. For purposes of making the calculations required under this Section, Independent Advisor may make reasonable assumptions and approximations concerning applicable taxes and may rely on reasonable, good faith interpretations concerning the application of Sections 280G and 4999 of the Code; provided that Independent Advisor shall assume that the Executive pays all taxes at the highest marginal rate. The Company and the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8(e)(iii) applies, then based on the information provided to the Executive and the Company by Independent Advisor, the Executive may, in the Executive’s sole discretion and within thirty days of the date on which the Executive is provided with the information prepared by Independent Advisor, determine which and how much of the Payments (including the accelerated vesting of equity compensation awards) to be otherwise received by the Executive shall be eliminated or reduced (as long as after such determination the value (as calculated by Independent Advisor in accordance with the provisions of Sections 280G and 4999 of the Code) of the amounts payable or distributable to the Executive equals the Reduced Amount). If the Internal Revenue Service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938"/>
          </w:cols>
          <w:pgMar w:left="322" w:top="1311" w:right="639" w:bottom="1440" w:gutter="0" w:footer="0" w:header="0"/>
        </w:sectPr>
      </w:pPr>
    </w:p>
    <w:bookmarkStart w:id="148" w:name="page149"/>
    <w:bookmarkEnd w:id="148"/>
    <w:p>
      <w:pPr>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determines that any Payment is subject to the Excise Tax, then Section 8(e)(iv) hereof shall apply, and the enforcement of Section 8(e)(iv) shall be the exclusive remedy to the Company.</w:t>
      </w:r>
    </w:p>
    <w:p>
      <w:pPr>
        <w:spacing w:after="0" w:line="160" w:lineRule="exact"/>
        <w:rPr>
          <w:sz w:val="20"/>
          <w:szCs w:val="20"/>
          <w:color w:val="auto"/>
        </w:rPr>
      </w:pPr>
    </w:p>
    <w:p>
      <w:pPr>
        <w:jc w:val="both"/>
        <w:ind w:firstLine="1843"/>
        <w:spacing w:after="0" w:line="248" w:lineRule="auto"/>
        <w:tabs>
          <w:tab w:leader="none" w:pos="24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Adjustments. </w:t>
      </w:r>
      <w:r>
        <w:rPr>
          <w:rFonts w:ascii="Times New Roman" w:cs="Times New Roman" w:eastAsia="Times New Roman" w:hAnsi="Times New Roman"/>
          <w:sz w:val="20"/>
          <w:szCs w:val="20"/>
          <w:color w:val="auto"/>
        </w:rPr>
        <w:t>If, notwithstanding any reduction described in Section 8(e)(iii) (or in the absence of any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reduction), the IRS determines that the Executive is liable for the Excise Tax as a result of the receipt of one or more Payments, then the Executive shall be obligated to surrender or pay back to the Company, within 120 days after a final IRS determination, an amount of such payments or benefits equal to the “</w:t>
      </w:r>
      <w:r>
        <w:rPr>
          <w:rFonts w:ascii="Times New Roman" w:cs="Times New Roman" w:eastAsia="Times New Roman" w:hAnsi="Times New Roman"/>
          <w:sz w:val="20"/>
          <w:szCs w:val="20"/>
          <w:u w:val="single" w:color="auto"/>
          <w:color w:val="auto"/>
        </w:rPr>
        <w:t>Repayment Amo</w:t>
      </w:r>
      <w:r>
        <w:rPr>
          <w:rFonts w:ascii="Times New Roman" w:cs="Times New Roman" w:eastAsia="Times New Roman" w:hAnsi="Times New Roman"/>
          <w:sz w:val="20"/>
          <w:szCs w:val="20"/>
          <w:color w:val="auto"/>
        </w:rPr>
        <w:t>unt.” The Repayment Amount with respect to such Payments shall be the smallest such amount, if any, as shall be required to be surrendered or paid to the Company so that the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the Executive from the Payments. If the Excise Tax is not eliminated pursuant to this Section, the Executive shall pay the Excise Tax.</w:t>
      </w:r>
    </w:p>
    <w:p>
      <w:pPr>
        <w:spacing w:after="0" w:line="168" w:lineRule="exact"/>
        <w:rPr>
          <w:rFonts w:ascii="Times New Roman" w:cs="Times New Roman" w:eastAsia="Times New Roman" w:hAnsi="Times New Roman"/>
          <w:sz w:val="20"/>
          <w:szCs w:val="20"/>
          <w:color w:val="auto"/>
        </w:rPr>
      </w:pPr>
    </w:p>
    <w:p>
      <w:pPr>
        <w:jc w:val="both"/>
        <w:ind w:firstLine="1843"/>
        <w:spacing w:after="0" w:line="261" w:lineRule="auto"/>
        <w:tabs>
          <w:tab w:leader="none" w:pos="2453"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Acquirer Does Not Assume Performance Share Award. </w:t>
      </w:r>
      <w:r>
        <w:rPr>
          <w:rFonts w:ascii="Times New Roman" w:cs="Times New Roman" w:eastAsia="Times New Roman" w:hAnsi="Times New Roman"/>
          <w:sz w:val="19"/>
          <w:szCs w:val="19"/>
          <w:color w:val="auto"/>
        </w:rPr>
        <w:t>In the event of a Change in Control,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surviving, continuing, successor, or purchasing corporation or other business entity or parent thereof, as the case may be (the “</w:t>
      </w:r>
      <w:r>
        <w:rPr>
          <w:rFonts w:ascii="Times New Roman" w:cs="Times New Roman" w:eastAsia="Times New Roman" w:hAnsi="Times New Roman"/>
          <w:sz w:val="19"/>
          <w:szCs w:val="19"/>
          <w:u w:val="single" w:color="auto"/>
          <w:color w:val="auto"/>
        </w:rPr>
        <w:t>Acquirer</w:t>
      </w:r>
      <w:r>
        <w:rPr>
          <w:rFonts w:ascii="Times New Roman" w:cs="Times New Roman" w:eastAsia="Times New Roman" w:hAnsi="Times New Roman"/>
          <w:sz w:val="19"/>
          <w:szCs w:val="19"/>
          <w:color w:val="auto"/>
        </w:rPr>
        <w:t>”),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 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Performance Share Awards in connection with a Change in Control prior to the Performance Share Vesting Date, (i) the Target Number of Performance Shares shall become fully vested and such Performance Shares shall be deemed Vested Performance Shares and one Vested Common Share shall be issued to the Executive for each such Vested Performance Share immediately prior to the Change in Control and (ii) 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940"/>
          </w:cols>
          <w:pgMar w:left="320" w:top="1311" w:right="639" w:bottom="1440" w:gutter="0" w:footer="0" w:header="0"/>
        </w:sectPr>
      </w:pPr>
    </w:p>
    <w:bookmarkStart w:id="149" w:name="page150"/>
    <w:bookmarkEnd w:id="149"/>
    <w:p>
      <w:pPr>
        <w:jc w:val="both"/>
        <w:ind w:right="300" w:firstLine="1843"/>
        <w:spacing w:after="0" w:line="263" w:lineRule="auto"/>
        <w:tabs>
          <w:tab w:leader="none" w:pos="2444" w:val="left"/>
        </w:tabs>
        <w:numPr>
          <w:ilvl w:val="2"/>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Acquirer Does Not Assume Restricted Stock Award. </w:t>
      </w:r>
      <w:r>
        <w:rPr>
          <w:rFonts w:ascii="Times New Roman" w:cs="Times New Roman" w:eastAsia="Times New Roman" w:hAnsi="Times New Roman"/>
          <w:sz w:val="19"/>
          <w:szCs w:val="19"/>
          <w:color w:val="auto"/>
        </w:rPr>
        <w:t>In the event of a Change in Control, the Acquirer,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180" w:lineRule="exact"/>
        <w:rPr>
          <w:rFonts w:ascii="Times New Roman" w:cs="Times New Roman" w:eastAsia="Times New Roman" w:hAnsi="Times New Roman"/>
          <w:sz w:val="19"/>
          <w:szCs w:val="19"/>
          <w:color w:val="auto"/>
        </w:rPr>
      </w:pPr>
    </w:p>
    <w:p>
      <w:pPr>
        <w:ind w:left="920" w:hanging="304"/>
        <w:spacing w:after="0"/>
        <w:tabs>
          <w:tab w:leader="none" w:pos="9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Employment Obligations.</w:t>
      </w:r>
    </w:p>
    <w:p>
      <w:pPr>
        <w:spacing w:after="0" w:line="115" w:lineRule="exact"/>
        <w:rPr>
          <w:rFonts w:ascii="Times New Roman" w:cs="Times New Roman" w:eastAsia="Times New Roman" w:hAnsi="Times New Roman"/>
          <w:sz w:val="20"/>
          <w:szCs w:val="20"/>
          <w:color w:val="auto"/>
        </w:rPr>
      </w:pPr>
    </w:p>
    <w:p>
      <w:pPr>
        <w:jc w:val="both"/>
        <w:ind w:right="300" w:firstLine="1229"/>
        <w:spacing w:after="0" w:line="248" w:lineRule="auto"/>
        <w:tabs>
          <w:tab w:leader="none" w:pos="1841"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Acknowledgement. </w:t>
      </w:r>
      <w:r>
        <w:rPr>
          <w:rFonts w:ascii="Times New Roman" w:cs="Times New Roman" w:eastAsia="Times New Roman" w:hAnsi="Times New Roman"/>
          <w:sz w:val="20"/>
          <w:szCs w:val="20"/>
          <w:color w:val="auto"/>
        </w:rPr>
        <w:t>The Company and the Executive acknowledge that (i) the Company has a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 and constitutes valuable proprietary assets of the Company, and the Company will suffer substantial damage and irreparable harm which will be difficult to compute if, during the Term of Employment or thereafter, the Executive should disclose or improperly use such Confidential Information in violation of the provisions of this Agreement; (iv) the Company will suffer substantial damage and irreparable harm which will be difficult to compute if the Executive competes with the Company in violation of this Agreement; (v) the Company will suffer substantial damage which will be difficult to compute if the Executive solicits or interferes with the Company’s employees, clients, or customers; (vi) the provisions of this Agreement are reasonable and necessary for the protection of the business of the Company; and (vii) the provisions of this Agreement will not preclude the Executive from obtaining other gainful employment or service.</w:t>
      </w:r>
    </w:p>
    <w:p>
      <w:pPr>
        <w:spacing w:after="0" w:line="166" w:lineRule="exact"/>
        <w:rPr>
          <w:rFonts w:ascii="Times New Roman" w:cs="Times New Roman" w:eastAsia="Times New Roman" w:hAnsi="Times New Roman"/>
          <w:sz w:val="20"/>
          <w:szCs w:val="20"/>
          <w:color w:val="auto"/>
        </w:rPr>
      </w:pPr>
    </w:p>
    <w:p>
      <w:pPr>
        <w:ind w:left="1540" w:hanging="310"/>
        <w:spacing w:after="0"/>
        <w:tabs>
          <w:tab w:leader="none" w:pos="154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Non-Compete.</w:t>
      </w:r>
    </w:p>
    <w:p>
      <w:pPr>
        <w:spacing w:after="0" w:line="221" w:lineRule="exact"/>
        <w:rPr>
          <w:rFonts w:ascii="Times New Roman" w:cs="Times New Roman" w:eastAsia="Times New Roman" w:hAnsi="Times New Roman"/>
          <w:sz w:val="20"/>
          <w:szCs w:val="20"/>
          <w:color w:val="auto"/>
        </w:rPr>
      </w:pPr>
    </w:p>
    <w:p>
      <w:pPr>
        <w:jc w:val="both"/>
        <w:ind w:firstLine="1844"/>
        <w:spacing w:after="0" w:line="254" w:lineRule="auto"/>
        <w:tabs>
          <w:tab w:leader="none" w:pos="2449" w:val="left"/>
        </w:tabs>
        <w:numPr>
          <w:ilvl w:val="2"/>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the Executive’s employment with the Company and for a period of 24 months following the Executive's termination of employment with the Company, the Executive shall not, directly or indirectly, own, manage, control, be employed by, consult with, participate in, or be connected in any manner with the ownership, management, operation, control of, or otherwise become involved with, any Competing Business, without the Company’s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07" w:right="339" w:bottom="1440" w:gutter="0" w:footer="0" w:header="0"/>
        </w:sectPr>
      </w:pPr>
    </w:p>
    <w:bookmarkStart w:id="150" w:name="page151"/>
    <w:bookmarkEnd w:id="150"/>
    <w:p>
      <w:pPr>
        <w:ind w:left="618"/>
        <w:spacing w:after="0"/>
        <w:rPr>
          <w:sz w:val="20"/>
          <w:szCs w:val="20"/>
          <w:color w:val="auto"/>
        </w:rPr>
      </w:pPr>
      <w:r>
        <w:rPr>
          <w:rFonts w:ascii="Times New Roman" w:cs="Times New Roman" w:eastAsia="Times New Roman" w:hAnsi="Times New Roman"/>
          <w:sz w:val="20"/>
          <w:szCs w:val="20"/>
          <w:color w:val="auto"/>
        </w:rPr>
        <w:t>For purposes of this Agreement, a “Competing Business” shall mean any of the following:</w:t>
      </w:r>
    </w:p>
    <w:p>
      <w:pPr>
        <w:spacing w:after="0" w:line="22" w:lineRule="exact"/>
        <w:rPr>
          <w:sz w:val="20"/>
          <w:szCs w:val="20"/>
          <w:color w:val="auto"/>
        </w:rPr>
      </w:pPr>
    </w:p>
    <w:p>
      <w:pPr>
        <w:ind w:left="-2" w:firstLine="2"/>
        <w:spacing w:after="0" w:line="245" w:lineRule="auto"/>
        <w:tabs>
          <w:tab w:leader="none" w:pos="27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off-price retailer including, without limitation, </w:t>
      </w:r>
      <w:r>
        <w:rPr>
          <w:rFonts w:ascii="Times New Roman" w:cs="Times New Roman" w:eastAsia="Times New Roman" w:hAnsi="Times New Roman"/>
          <w:sz w:val="20"/>
          <w:szCs w:val="20"/>
          <w:b w:val="1"/>
          <w:bCs w:val="1"/>
          <w:color w:val="auto"/>
        </w:rPr>
        <w:t>Burlington Stores, Inc. and The TJX Companies, Inc.; (2) Macy’s, Inc.;</w:t>
      </w:r>
      <w:r>
        <w:rPr>
          <w:rFonts w:ascii="Times New Roman" w:cs="Times New Roman" w:eastAsia="Times New Roman" w:hAnsi="Times New Roman"/>
          <w:sz w:val="20"/>
          <w:szCs w:val="20"/>
          <w:color w:val="auto"/>
        </w:rPr>
        <w:t xml:space="preserve"> and (3) any affiliates, subsidiaries or successors of the businesses identified above.</w:t>
      </w:r>
    </w:p>
    <w:p>
      <w:pPr>
        <w:spacing w:after="0" w:line="211" w:lineRule="exact"/>
        <w:rPr>
          <w:rFonts w:ascii="Times New Roman" w:cs="Times New Roman" w:eastAsia="Times New Roman" w:hAnsi="Times New Roman"/>
          <w:sz w:val="20"/>
          <w:szCs w:val="20"/>
          <w:color w:val="auto"/>
        </w:rPr>
      </w:pPr>
    </w:p>
    <w:p>
      <w:pPr>
        <w:ind w:left="-2" w:firstLine="1843"/>
        <w:spacing w:after="0" w:line="268" w:lineRule="auto"/>
        <w:tabs>
          <w:tab w:leader="none" w:pos="2449"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9(b)(i) shall not prohibit the Executive from making any investment of 1% or less of the equity securities of any publicly-traded corporation which is considered to be a Competing Business</w:t>
      </w:r>
    </w:p>
    <w:p>
      <w:pPr>
        <w:spacing w:after="0" w:line="147" w:lineRule="exact"/>
        <w:rPr>
          <w:rFonts w:ascii="Times New Roman" w:cs="Times New Roman" w:eastAsia="Times New Roman" w:hAnsi="Times New Roman"/>
          <w:sz w:val="20"/>
          <w:szCs w:val="20"/>
          <w:color w:val="auto"/>
        </w:rPr>
      </w:pPr>
    </w:p>
    <w:p>
      <w:pPr>
        <w:jc w:val="both"/>
        <w:ind w:left="-2" w:firstLine="1229"/>
        <w:spacing w:after="0" w:line="248" w:lineRule="auto"/>
        <w:tabs>
          <w:tab w:leader="none" w:pos="183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w:t>
      </w:r>
      <w:r>
        <w:rPr>
          <w:rFonts w:ascii="Times New Roman" w:cs="Times New Roman" w:eastAsia="Times New Roman" w:hAnsi="Times New Roman"/>
          <w:sz w:val="20"/>
          <w:szCs w:val="20"/>
          <w:color w:val="auto"/>
        </w:rPr>
        <w:t>During the period of the Executive’s employment with the Company and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 induce the termination of employment of, any person who is employed by the Company or was employed by the Company during the 6-month period prior to such solicitation, employment, or retainer; (ii) encourage any such person not to devote such person’s full business time to the Company; or (iii) agree to hire or employ any such person. The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85" w:lineRule="exact"/>
        <w:rPr>
          <w:rFonts w:ascii="Times New Roman" w:cs="Times New Roman" w:eastAsia="Times New Roman" w:hAnsi="Times New Roman"/>
          <w:sz w:val="20"/>
          <w:szCs w:val="20"/>
          <w:color w:val="auto"/>
        </w:rPr>
      </w:pPr>
    </w:p>
    <w:p>
      <w:pPr>
        <w:jc w:val="both"/>
        <w:ind w:left="-2" w:firstLine="1229"/>
        <w:spacing w:after="0" w:line="248" w:lineRule="auto"/>
        <w:tabs>
          <w:tab w:leader="none" w:pos="1837"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Third Parties. </w:t>
      </w:r>
      <w:r>
        <w:rPr>
          <w:rFonts w:ascii="Times New Roman" w:cs="Times New Roman" w:eastAsia="Times New Roman" w:hAnsi="Times New Roman"/>
          <w:sz w:val="20"/>
          <w:szCs w:val="20"/>
          <w:color w:val="auto"/>
        </w:rPr>
        <w:t>During the period of the Executive’s employment with the Company and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of 24 months following the Executive’s termination of employment with the Company, the Executive shall not in any way use any of the Company’s trade secrets to directly or indirectly solicit or otherwise influence any entity with a business arrangement with the Company, including, without limitation, suppliers, sales 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68" w:lineRule="exact"/>
        <w:rPr>
          <w:rFonts w:ascii="Times New Roman" w:cs="Times New Roman" w:eastAsia="Times New Roman" w:hAnsi="Times New Roman"/>
          <w:sz w:val="20"/>
          <w:szCs w:val="20"/>
          <w:color w:val="auto"/>
        </w:rPr>
      </w:pPr>
    </w:p>
    <w:p>
      <w:pPr>
        <w:jc w:val="both"/>
        <w:ind w:left="-2" w:firstLine="1229"/>
        <w:spacing w:after="0" w:line="277" w:lineRule="auto"/>
        <w:tabs>
          <w:tab w:leader="none" w:pos="1838"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Non-Disparagement. </w:t>
      </w:r>
      <w:r>
        <w:rPr>
          <w:rFonts w:ascii="Times New Roman" w:cs="Times New Roman" w:eastAsia="Times New Roman" w:hAnsi="Times New Roman"/>
          <w:sz w:val="19"/>
          <w:szCs w:val="19"/>
          <w:color w:val="auto"/>
        </w:rPr>
        <w:t>The Executive acknowledges and agrees that the Executive will not defame or criticize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services, business, integrity, veracity, or personal or professional reputation of the Company or any of its directors, officers, employees, affiliates, or agents of any of the foregoing in either a professional or personal manner either during the Term of Employment or thereafter. This Section does not, in any way, restrict or impede the Executive from exercising protected rights as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938"/>
          </w:cols>
          <w:pgMar w:left="322" w:top="1171" w:right="639" w:bottom="1440" w:gutter="0" w:footer="0" w:header="0"/>
        </w:sectPr>
      </w:pPr>
    </w:p>
    <w:bookmarkStart w:id="151" w:name="page152"/>
    <w:bookmarkEnd w:id="151"/>
    <w:p>
      <w:pPr>
        <w:ind w:left="660" w:hanging="344"/>
        <w:spacing w:after="0"/>
        <w:tabs>
          <w:tab w:leader="none" w:pos="6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Remedies for Executive’s Breach of Certain Obligations.</w:t>
      </w:r>
    </w:p>
    <w:p>
      <w:pPr>
        <w:spacing w:after="0" w:line="208" w:lineRule="exact"/>
        <w:rPr>
          <w:rFonts w:ascii="Times New Roman" w:cs="Times New Roman" w:eastAsia="Times New Roman" w:hAnsi="Times New Roman"/>
          <w:sz w:val="20"/>
          <w:szCs w:val="20"/>
          <w:color w:val="auto"/>
        </w:rPr>
      </w:pPr>
    </w:p>
    <w:p>
      <w:pPr>
        <w:jc w:val="both"/>
        <w:ind w:left="-300" w:firstLine="1229"/>
        <w:spacing w:after="0" w:line="254" w:lineRule="auto"/>
        <w:tabs>
          <w:tab w:leader="none" w:pos="1541"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177" w:lineRule="exact"/>
        <w:rPr>
          <w:rFonts w:ascii="Times New Roman" w:cs="Times New Roman" w:eastAsia="Times New Roman" w:hAnsi="Times New Roman"/>
          <w:sz w:val="20"/>
          <w:szCs w:val="20"/>
          <w:color w:val="auto"/>
        </w:rPr>
      </w:pPr>
    </w:p>
    <w:p>
      <w:pPr>
        <w:jc w:val="both"/>
        <w:ind w:left="-300" w:firstLine="1229"/>
        <w:spacing w:after="0" w:line="260" w:lineRule="auto"/>
        <w:tabs>
          <w:tab w:leader="none" w:pos="1539"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60" w:lineRule="exact"/>
        <w:rPr>
          <w:rFonts w:ascii="Times New Roman" w:cs="Times New Roman" w:eastAsia="Times New Roman" w:hAnsi="Times New Roman"/>
          <w:sz w:val="20"/>
          <w:szCs w:val="20"/>
          <w:color w:val="auto"/>
        </w:rPr>
      </w:pPr>
    </w:p>
    <w:p>
      <w:pPr>
        <w:jc w:val="both"/>
        <w:ind w:left="-300" w:firstLine="1843"/>
        <w:spacing w:after="0" w:line="249" w:lineRule="auto"/>
        <w:tabs>
          <w:tab w:leader="none" w:pos="2148" w:val="left"/>
        </w:tabs>
        <w:numPr>
          <w:ilvl w:val="2"/>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forfeit to the Company (A) all stock options, stock appreciation rights, performance shares and other equity compensation awards (other than shares of restricted stock, restricted stock units, common shares issued in settlement of performance share awards, or similar awards) granted to the Executive by the Company which remain outstanding and unexercised or unpaid as of the date of such determination by the Board (the “</w:t>
      </w:r>
      <w:r>
        <w:rPr>
          <w:rFonts w:ascii="Times New Roman" w:cs="Times New Roman" w:eastAsia="Times New Roman" w:hAnsi="Times New Roman"/>
          <w:sz w:val="20"/>
          <w:szCs w:val="20"/>
          <w:u w:val="single" w:color="auto"/>
          <w:color w:val="auto"/>
        </w:rPr>
        <w:t>Breach Determination Date</w:t>
      </w:r>
      <w:r>
        <w:rPr>
          <w:rFonts w:ascii="Times New Roman" w:cs="Times New Roman" w:eastAsia="Times New Roman" w:hAnsi="Times New Roman"/>
          <w:sz w:val="20"/>
          <w:szCs w:val="20"/>
          <w:color w:val="auto"/>
        </w:rPr>
        <w:t>”) and (B) all shares of restricted stock, restricted stock units, and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84" w:lineRule="exact"/>
        <w:rPr>
          <w:rFonts w:ascii="Times New Roman" w:cs="Times New Roman" w:eastAsia="Times New Roman" w:hAnsi="Times New Roman"/>
          <w:sz w:val="20"/>
          <w:szCs w:val="20"/>
          <w:color w:val="auto"/>
        </w:rPr>
      </w:pPr>
    </w:p>
    <w:p>
      <w:pPr>
        <w:jc w:val="both"/>
        <w:ind w:left="-300" w:firstLine="1843"/>
        <w:spacing w:after="0" w:line="251" w:lineRule="auto"/>
        <w:tabs>
          <w:tab w:leader="none" w:pos="2151" w:val="left"/>
        </w:tabs>
        <w:numPr>
          <w:ilvl w:val="2"/>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 pursuant to awards of restricted stock, restricted stock units, or similar awards granted to the Executive by the Company and which vested during the Forfeiture Period.</w:t>
      </w:r>
    </w:p>
    <w:p>
      <w:pPr>
        <w:spacing w:after="0" w:line="168" w:lineRule="exact"/>
        <w:rPr>
          <w:rFonts w:ascii="Times New Roman" w:cs="Times New Roman" w:eastAsia="Times New Roman" w:hAnsi="Times New Roman"/>
          <w:sz w:val="20"/>
          <w:szCs w:val="20"/>
          <w:color w:val="auto"/>
        </w:rPr>
      </w:pPr>
    </w:p>
    <w:p>
      <w:pPr>
        <w:jc w:val="both"/>
        <w:ind w:left="-300" w:firstLine="1230"/>
        <w:spacing w:after="0" w:line="249" w:lineRule="auto"/>
        <w:tabs>
          <w:tab w:leader="none" w:pos="1542"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640"/>
          </w:cols>
          <w:pgMar w:left="620" w:top="1307" w:right="639" w:bottom="1440" w:gutter="0" w:footer="0" w:header="0"/>
        </w:sectPr>
      </w:pPr>
    </w:p>
    <w:bookmarkStart w:id="152" w:name="page153"/>
    <w:bookmarkEnd w:id="152"/>
    <w:p>
      <w:pPr>
        <w:jc w:val="both"/>
        <w:ind w:left="-300" w:firstLine="1229"/>
        <w:spacing w:after="0" w:line="260" w:lineRule="auto"/>
        <w:tabs>
          <w:tab w:leader="none" w:pos="153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the “</w:t>
      </w:r>
      <w:r>
        <w:rPr>
          <w:rFonts w:ascii="Times New Roman" w:cs="Times New Roman" w:eastAsia="Times New Roman" w:hAnsi="Times New Roman"/>
          <w:sz w:val="20"/>
          <w:szCs w:val="20"/>
          <w:u w:val="single" w:color="auto"/>
          <w:color w:val="auto"/>
        </w:rPr>
        <w:t>Forfeiture Period</w:t>
      </w:r>
      <w:r>
        <w:rPr>
          <w:rFonts w:ascii="Times New Roman" w:cs="Times New Roman" w:eastAsia="Times New Roman" w:hAnsi="Times New Roman"/>
          <w:sz w:val="20"/>
          <w:szCs w:val="20"/>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160" w:lineRule="exact"/>
        <w:rPr>
          <w:rFonts w:ascii="Times New Roman" w:cs="Times New Roman" w:eastAsia="Times New Roman" w:hAnsi="Times New Roman"/>
          <w:sz w:val="20"/>
          <w:szCs w:val="20"/>
          <w:color w:val="auto"/>
        </w:rPr>
      </w:pPr>
    </w:p>
    <w:p>
      <w:pPr>
        <w:ind w:left="-300" w:right="20" w:firstLine="1229"/>
        <w:spacing w:after="0" w:line="268" w:lineRule="auto"/>
        <w:tabs>
          <w:tab w:leader="none" w:pos="154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pay to the Company immediately upon the Breach Determination Date the amount payable by the Executive to the Company pursuant to this Section.</w:t>
      </w:r>
    </w:p>
    <w:p>
      <w:pPr>
        <w:spacing w:after="0" w:line="164" w:lineRule="exact"/>
        <w:rPr>
          <w:rFonts w:ascii="Times New Roman" w:cs="Times New Roman" w:eastAsia="Times New Roman" w:hAnsi="Times New Roman"/>
          <w:sz w:val="20"/>
          <w:szCs w:val="20"/>
          <w:color w:val="auto"/>
        </w:rPr>
      </w:pPr>
    </w:p>
    <w:p>
      <w:pPr>
        <w:jc w:val="both"/>
        <w:ind w:left="-300" w:firstLine="1229"/>
        <w:spacing w:after="0" w:line="261" w:lineRule="auto"/>
        <w:tabs>
          <w:tab w:leader="none" w:pos="1532"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seek specific performance, injunctive relief, and other equitable relief from a court of competent jurisdiction, to prevent or restrain such breach or threatened breach. The Company may at its option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63" w:lineRule="exact"/>
        <w:rPr>
          <w:rFonts w:ascii="Times New Roman" w:cs="Times New Roman" w:eastAsia="Times New Roman" w:hAnsi="Times New Roman"/>
          <w:sz w:val="19"/>
          <w:szCs w:val="19"/>
          <w:color w:val="auto"/>
        </w:rPr>
      </w:pPr>
    </w:p>
    <w:p>
      <w:pPr>
        <w:jc w:val="both"/>
        <w:ind w:left="-300" w:firstLine="1229"/>
        <w:spacing w:after="0" w:line="249" w:lineRule="auto"/>
        <w:tabs>
          <w:tab w:leader="none" w:pos="153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The Executive hereby understands and agrees that (i) if the Executive is an “Affected Officer”,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in the Company’s Policy for Recovery of Erroneously Awarded Incentive Compensation, adopted November 15, 2023 (“Recovery Policy”), the Executive shall be subject to the Recovery Policy in addition to the Company’s recoupment policy (“Recoupment Policy”) and (ii) if the Executive is not an Affected Officer, the Executive shall be subject to the Company’s Recoupment Policy. Under the Recoupment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 (1) the award was predicated upon the achievement of certain financial results that were subsequently the subject of a material restatement, (2) the Board determines that the Executive engaged in fraud or intentional misconduct that was a substantial contributing cause to the need for the restatement, and (3) a lower award would have been made to the Executive based upon the restated financial results. In each instance, the Company may seek to recover the Executive’s entire gain received by the Executive within the relevant period, plus a reasonable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640"/>
          </w:cols>
          <w:pgMar w:left="620" w:top="1311" w:right="639" w:bottom="1440" w:gutter="0" w:footer="0" w:header="0"/>
        </w:sectPr>
      </w:pPr>
    </w:p>
    <w:bookmarkStart w:id="153" w:name="page154"/>
    <w:bookmarkEnd w:id="153"/>
    <w:p>
      <w:pPr>
        <w:jc w:val="both"/>
        <w:ind w:firstLine="615"/>
        <w:spacing w:after="0" w:line="255" w:lineRule="auto"/>
        <w:tabs>
          <w:tab w:leader="none" w:pos="1209"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of Stock Options Following Termination. </w:t>
      </w:r>
      <w:r>
        <w:rPr>
          <w:rFonts w:ascii="Times New Roman" w:cs="Times New Roman" w:eastAsia="Times New Roman" w:hAnsi="Times New Roman"/>
          <w:sz w:val="20"/>
          <w:szCs w:val="20"/>
          <w:color w:val="auto"/>
        </w:rPr>
        <w:t>If the Executive's employment terminates, the Executive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estate) may exercise the Executive's right to purchase any vested stock under the stock options granted to the Executive by the Company as provided in the applicable stock option agreement or Company plan. All such purchases must be made by the Executive in accordance with the applicable stock option plans and agreements between the parties.</w:t>
      </w:r>
    </w:p>
    <w:p>
      <w:pPr>
        <w:spacing w:after="0" w:line="160" w:lineRule="exact"/>
        <w:rPr>
          <w:rFonts w:ascii="Times New Roman" w:cs="Times New Roman" w:eastAsia="Times New Roman" w:hAnsi="Times New Roman"/>
          <w:sz w:val="20"/>
          <w:szCs w:val="20"/>
          <w:color w:val="auto"/>
        </w:rPr>
      </w:pPr>
    </w:p>
    <w:p>
      <w:pPr>
        <w:jc w:val="both"/>
        <w:ind w:firstLine="615"/>
        <w:spacing w:after="0" w:line="252" w:lineRule="auto"/>
        <w:tabs>
          <w:tab w:leader="none" w:pos="12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Successors; Binding Agreement. </w:t>
      </w:r>
      <w:r>
        <w:rPr>
          <w:rFonts w:ascii="Times New Roman" w:cs="Times New Roman" w:eastAsia="Times New Roman" w:hAnsi="Times New Roman"/>
          <w:sz w:val="20"/>
          <w:szCs w:val="20"/>
          <w:color w:val="auto"/>
        </w:rPr>
        <w:t>This Agreement and all rights of the Executive hereunder shall inure to the benefit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be 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75" w:lineRule="exact"/>
        <w:rPr>
          <w:rFonts w:ascii="Times New Roman" w:cs="Times New Roman" w:eastAsia="Times New Roman" w:hAnsi="Times New Roman"/>
          <w:sz w:val="20"/>
          <w:szCs w:val="20"/>
          <w:color w:val="auto"/>
        </w:rPr>
      </w:pPr>
    </w:p>
    <w:p>
      <w:pPr>
        <w:jc w:val="both"/>
        <w:ind w:firstLine="615"/>
        <w:spacing w:after="0" w:line="250" w:lineRule="auto"/>
        <w:tabs>
          <w:tab w:leader="none" w:pos="12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Insurance and Indemnity. </w:t>
      </w:r>
      <w:r>
        <w:rPr>
          <w:rFonts w:ascii="Times New Roman" w:cs="Times New Roman" w:eastAsia="Times New Roman" w:hAnsi="Times New Roman"/>
          <w:sz w:val="20"/>
          <w:szCs w:val="20"/>
          <w:color w:val="auto"/>
        </w:rPr>
        <w:t>The Company shall, to the extent permitted by law, include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77" w:lineRule="exact"/>
        <w:rPr>
          <w:rFonts w:ascii="Times New Roman" w:cs="Times New Roman" w:eastAsia="Times New Roman" w:hAnsi="Times New Roman"/>
          <w:sz w:val="20"/>
          <w:szCs w:val="20"/>
          <w:color w:val="auto"/>
        </w:rPr>
      </w:pPr>
    </w:p>
    <w:p>
      <w:pPr>
        <w:jc w:val="both"/>
        <w:ind w:firstLine="615"/>
        <w:spacing w:after="0" w:line="256" w:lineRule="auto"/>
        <w:tabs>
          <w:tab w:leader="none" w:pos="121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For the purposes of this Agreement, notices, demands and all other communications provided for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to have been duly given when delivered or (unless otherwise specified) mailed by United States registered mail, return receipt requested, postage prepaid, addressed as follows:</w:t>
      </w:r>
    </w:p>
    <w:p>
      <w:pPr>
        <w:sectPr>
          <w:pgSz w:w="11900" w:h="16838" w:orient="portrait"/>
          <w:cols w:equalWidth="0" w:num="1">
            <w:col w:w="10940"/>
          </w:cols>
          <w:pgMar w:left="320" w:top="1308" w:right="639" w:bottom="1440" w:gutter="0" w:footer="0" w:header="0"/>
        </w:sectPr>
      </w:pP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If to the Executive: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Fleming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1372 Broadway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NY 10018</w:t>
      </w:r>
    </w:p>
    <w:p>
      <w:pPr>
        <w:spacing w:after="0" w:line="200" w:lineRule="exact"/>
        <w:rPr>
          <w:sz w:val="20"/>
          <w:szCs w:val="20"/>
          <w:color w:val="auto"/>
        </w:rPr>
      </w:pPr>
    </w:p>
    <w:p>
      <w:pPr>
        <w:sectPr>
          <w:pgSz w:w="11900" w:h="16838" w:orient="portrait"/>
          <w:cols w:equalWidth="0" w:num="2">
            <w:col w:w="2800" w:space="680"/>
            <w:col w:w="7460"/>
          </w:cols>
          <w:pgMar w:left="320" w:top="1308" w:right="639" w:bottom="1440" w:gutter="0" w:footer="0" w:header="0"/>
          <w:type w:val="continuous"/>
        </w:sectPr>
      </w:pPr>
    </w:p>
    <w:p>
      <w:pPr>
        <w:spacing w:after="0" w:line="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Ross Stores,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5130 Hacienda Drive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Dublin, CA 94568-7579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00" w:lineRule="exact"/>
        <w:rPr>
          <w:sz w:val="20"/>
          <w:szCs w:val="20"/>
          <w:color w:val="auto"/>
        </w:rPr>
      </w:pPr>
    </w:p>
    <w:p>
      <w:pPr>
        <w:sectPr>
          <w:pgSz w:w="11900" w:h="16838" w:orient="portrait"/>
          <w:cols w:equalWidth="0" w:num="2">
            <w:col w:w="2780" w:space="700"/>
            <w:col w:w="7460"/>
          </w:cols>
          <w:pgMar w:left="320" w:top="1308" w:right="639" w:bottom="1440" w:gutter="0" w:footer="0" w:header="0"/>
          <w:type w:val="continuous"/>
        </w:sectPr>
      </w:pPr>
    </w:p>
    <w:p>
      <w:pPr>
        <w:spacing w:after="0" w:line="31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or to such other address as any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940"/>
          </w:cols>
          <w:pgMar w:left="320" w:top="1308" w:right="639" w:bottom="1440" w:gutter="0" w:footer="0" w:header="0"/>
          <w:type w:val="continuous"/>
        </w:sectPr>
      </w:pPr>
    </w:p>
    <w:bookmarkStart w:id="154" w:name="page155"/>
    <w:bookmarkEnd w:id="154"/>
    <w:p>
      <w:pPr>
        <w:jc w:val="both"/>
        <w:ind w:left="-300" w:firstLine="615"/>
        <w:spacing w:after="0" w:line="247" w:lineRule="auto"/>
        <w:tabs>
          <w:tab w:leader="none" w:pos="91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Complete Agreement; Modification, Waiver; Entire Agreement. </w:t>
      </w:r>
      <w:r>
        <w:rPr>
          <w:rFonts w:ascii="Times New Roman" w:cs="Times New Roman" w:eastAsia="Times New Roman" w:hAnsi="Times New Roman"/>
          <w:sz w:val="20"/>
          <w:szCs w:val="20"/>
          <w:color w:val="auto"/>
        </w:rPr>
        <w:t>This Agreement, along with any compensation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summary, stock option, restricted stock, performance share, or other equity compensation award agreements between the parties, represents the complete agreement of the parties with respect to the subject matter hereof and supersedes all 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 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71" w:lineRule="exact"/>
        <w:rPr>
          <w:rFonts w:ascii="Times New Roman" w:cs="Times New Roman" w:eastAsia="Times New Roman" w:hAnsi="Times New Roman"/>
          <w:sz w:val="20"/>
          <w:szCs w:val="20"/>
          <w:color w:val="auto"/>
        </w:rPr>
      </w:pPr>
    </w:p>
    <w:p>
      <w:pPr>
        <w:jc w:val="both"/>
        <w:ind w:left="-300" w:firstLine="615"/>
        <w:spacing w:after="0" w:line="248" w:lineRule="auto"/>
        <w:tabs>
          <w:tab w:leader="none" w:pos="91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 Severability. </w:t>
      </w:r>
      <w:r>
        <w:rPr>
          <w:rFonts w:ascii="Times New Roman" w:cs="Times New Roman" w:eastAsia="Times New Roman" w:hAnsi="Times New Roman"/>
          <w:sz w:val="20"/>
          <w:szCs w:val="20"/>
          <w:color w:val="auto"/>
        </w:rPr>
        <w:t>The validity, interpretation, construction, performance, and enforcement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governed by the laws of the state in which the Executive’s principal place of employment described in Section 3 is located without reference to that state’s choice of law rules. Notwithstanding the foregoing and subject to the provisions of Section 10(f) hereof which entitles the Company to pursue injunctive relief in a court of competent jurisdiction, the Federal Arbitration Act, 9 U.S.C. § 1 et seq. and federal law shall govern all aspects of the agreement between the parties in Section 19 to arbitrate claims arising from or related to this Agreement. If any provision of this Agreement shall be held or deemed to be invalid, illegal, or unenforceable in any jurisdiction, for any reason, such holding shall not affect the validity of the remainder of this Agreement, which shall continue to be binding upon the parties with any such modification and treated as though originally set forth in this Agreement, nor shall such holding have the effect of rendering the provision in question unenforceable in any other jurisdiction or in any other case or of rendering any other provisions herein unenforceable. The parties further agree that any court or arbitrator, as applicable, is expressly authorized to modify and substitute any such unenforceable provision of this agreement with a valid provision which most closely approximates the intent and the economic effect of the invalid provision and which would be enforceable to the maximum extent permitted in such jurisdiction or in such case and that this Agreement as so modified shall be binding upon and enforceable against each of them.</w:t>
      </w:r>
    </w:p>
    <w:p>
      <w:pPr>
        <w:spacing w:after="0" w:line="185" w:lineRule="exact"/>
        <w:rPr>
          <w:rFonts w:ascii="Times New Roman" w:cs="Times New Roman" w:eastAsia="Times New Roman" w:hAnsi="Times New Roman"/>
          <w:sz w:val="20"/>
          <w:szCs w:val="20"/>
          <w:color w:val="auto"/>
        </w:rPr>
      </w:pPr>
    </w:p>
    <w:p>
      <w:pPr>
        <w:jc w:val="both"/>
        <w:ind w:left="-300" w:firstLine="615"/>
        <w:spacing w:after="0" w:line="256" w:lineRule="auto"/>
        <w:tabs>
          <w:tab w:leader="none" w:pos="91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Mitigation. </w:t>
      </w:r>
      <w:r>
        <w:rPr>
          <w:rFonts w:ascii="Times New Roman" w:cs="Times New Roman" w:eastAsia="Times New Roman" w:hAnsi="Times New Roman"/>
          <w:sz w:val="20"/>
          <w:szCs w:val="20"/>
          <w:color w:val="auto"/>
        </w:rPr>
        <w:t>In the event the Executive’s employment with the Company terminates for any reason, the Executive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obligated to seek other employment following such termination. However, any amounts due to the Executive under Sections 8(a)(i), 8(a)(ii), 8(a)(vii), 8(e)(i)(a), 8(e)(i)(b), 8(e)(i)(d) or 8(e)(i)(e) (collectively, “</w:t>
      </w:r>
      <w:r>
        <w:rPr>
          <w:rFonts w:ascii="Times New Roman" w:cs="Times New Roman" w:eastAsia="Times New Roman" w:hAnsi="Times New Roman"/>
          <w:sz w:val="20"/>
          <w:szCs w:val="20"/>
          <w:u w:val="single" w:color="auto"/>
          <w:color w:val="auto"/>
        </w:rPr>
        <w:t>Mitigable Severance</w:t>
      </w:r>
      <w:r>
        <w:rPr>
          <w:rFonts w:ascii="Times New Roman" w:cs="Times New Roman" w:eastAsia="Times New Roman" w:hAnsi="Times New Roman"/>
          <w:sz w:val="20"/>
          <w:szCs w:val="20"/>
          <w:color w:val="auto"/>
        </w:rPr>
        <w:t>”) shall be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640"/>
          </w:cols>
          <w:pgMar w:left="620" w:top="1308" w:right="639" w:bottom="1440" w:gutter="0" w:footer="0" w:header="0"/>
        </w:sectPr>
      </w:pPr>
    </w:p>
    <w:bookmarkStart w:id="155" w:name="page156"/>
    <w:bookmarkEnd w:id="155"/>
    <w:p>
      <w:pPr>
        <w:jc w:val="both"/>
        <w:spacing w:after="0" w:line="264" w:lineRule="auto"/>
        <w:rPr>
          <w:sz w:val="20"/>
          <w:szCs w:val="20"/>
          <w:color w:val="auto"/>
        </w:rPr>
      </w:pPr>
      <w:r>
        <w:rPr>
          <w:rFonts w:ascii="Times New Roman" w:cs="Times New Roman" w:eastAsia="Times New Roman" w:hAnsi="Times New Roman"/>
          <w:sz w:val="19"/>
          <w:szCs w:val="19"/>
          <w:color w:val="auto"/>
        </w:rPr>
        <w:t>any cash remuneration, health care coverage and/or estate planning reimbursements (collectively, “</w:t>
      </w:r>
      <w:r>
        <w:rPr>
          <w:rFonts w:ascii="Times New Roman" w:cs="Times New Roman" w:eastAsia="Times New Roman" w:hAnsi="Times New Roman"/>
          <w:sz w:val="19"/>
          <w:szCs w:val="19"/>
          <w:u w:val="single" w:color="auto"/>
          <w:color w:val="auto"/>
        </w:rPr>
        <w:t>Mitigable Compensation</w:t>
      </w:r>
      <w:r>
        <w:rPr>
          <w:rFonts w:ascii="Times New Roman" w:cs="Times New Roman" w:eastAsia="Times New Roman" w:hAnsi="Times New Roman"/>
          <w:sz w:val="19"/>
          <w:szCs w:val="19"/>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 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158" w:lineRule="exact"/>
        <w:rPr>
          <w:sz w:val="20"/>
          <w:szCs w:val="20"/>
          <w:color w:val="auto"/>
        </w:rPr>
      </w:pPr>
    </w:p>
    <w:p>
      <w:pPr>
        <w:jc w:val="both"/>
        <w:ind w:firstLine="615"/>
        <w:spacing w:after="0" w:line="252" w:lineRule="auto"/>
        <w:tabs>
          <w:tab w:leader="none" w:pos="121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w:t>
      </w:r>
      <w:r>
        <w:rPr>
          <w:rFonts w:ascii="Times New Roman" w:cs="Times New Roman" w:eastAsia="Times New Roman" w:hAnsi="Times New Roman"/>
          <w:sz w:val="20"/>
          <w:szCs w:val="20"/>
          <w:color w:val="auto"/>
        </w:rPr>
        <w:t>All payments required to be made by the Company hereunder to the Executive or the Executive’s estate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62" w:lineRule="exact"/>
        <w:rPr>
          <w:rFonts w:ascii="Times New Roman" w:cs="Times New Roman" w:eastAsia="Times New Roman" w:hAnsi="Times New Roman"/>
          <w:sz w:val="20"/>
          <w:szCs w:val="20"/>
          <w:color w:val="auto"/>
        </w:rPr>
      </w:pPr>
    </w:p>
    <w:p>
      <w:pPr>
        <w:jc w:val="both"/>
        <w:ind w:firstLine="615"/>
        <w:spacing w:after="0" w:line="247" w:lineRule="auto"/>
        <w:tabs>
          <w:tab w:leader="none" w:pos="121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Arbitration. </w:t>
      </w:r>
      <w:r>
        <w:rPr>
          <w:rFonts w:ascii="Times New Roman" w:cs="Times New Roman" w:eastAsia="Times New Roman" w:hAnsi="Times New Roman"/>
          <w:sz w:val="20"/>
          <w:szCs w:val="20"/>
          <w:color w:val="auto"/>
        </w:rPr>
        <w:t>Except as otherwise provided by applicable law or as otherwise provided for in this Agreement,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Executive shall resolve all disputes or claims relating to or arising out of the parties' employment relationship, separation or termination of employment,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Times New Roman" w:cs="Times New Roman" w:eastAsia="Times New Roman" w:hAnsi="Times New Roman"/>
          <w:sz w:val="20"/>
          <w:szCs w:val="20"/>
          <w:u w:val="single" w:color="auto"/>
          <w:color w:val="auto"/>
        </w:rPr>
        <w:t>Arbitration Agreement</w:t>
      </w:r>
      <w:r>
        <w:rPr>
          <w:rFonts w:ascii="Times New Roman" w:cs="Times New Roman" w:eastAsia="Times New Roman" w:hAnsi="Times New Roman"/>
          <w:sz w:val="20"/>
          <w:szCs w:val="20"/>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The parties are expressly waiving all rights to have their disputes heard or decided by a jury or in a court trial. And to the extent permitted by law, the Company and the Executive agree that each may file claims against the other only in their individual capacities, and may not file claims as a named plaintiff, or participate as a class member, in any class or collective action against the other. For the avoidance of doubt, in the event of a breach or threatened breach by the Executive of Sections 5 or 9 of this Agreement, nothing in this arbitration provision or the Arbitration Agreement shall be construed to prevent the Company from seeking interim or temporary injunctive or equitable relief from a court of competent jurisdiction, without the necessity of showing actual damages, and, except where prohibited by law, without the necessity of posting bond or other security. This provision fully incorporates the Arbitration Agreement provided, however, that in the event of any conflict between this provision and the Arbitration Agreement, this provision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940"/>
          </w:cols>
          <w:pgMar w:left="320" w:top="1311" w:right="639" w:bottom="1440" w:gutter="0" w:footer="0" w:header="0"/>
        </w:sectPr>
      </w:pPr>
    </w:p>
    <w:bookmarkStart w:id="156" w:name="page157"/>
    <w:bookmarkEnd w:id="156"/>
    <w:p>
      <w:pPr>
        <w:jc w:val="both"/>
        <w:ind w:firstLine="613"/>
        <w:spacing w:after="0" w:line="249" w:lineRule="auto"/>
        <w:rPr>
          <w:sz w:val="20"/>
          <w:szCs w:val="20"/>
          <w:color w:val="auto"/>
        </w:rPr>
      </w:pPr>
      <w:r>
        <w:rPr>
          <w:rFonts w:ascii="Times New Roman" w:cs="Times New Roman" w:eastAsia="Times New Roman" w:hAnsi="Times New Roman"/>
          <w:sz w:val="20"/>
          <w:szCs w:val="20"/>
          <w:color w:val="auto"/>
        </w:rPr>
        <w:t>If there is termination of the Executive’s employment with the Company followed by a dispute as to whether the Executive is entitled to the benefits provided under this Agreement, then, 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 withheld during the period of the dispute plus interest at the rate provided in Section 1274(d) of the Code.</w:t>
      </w:r>
    </w:p>
    <w:p>
      <w:pPr>
        <w:spacing w:after="0" w:line="180" w:lineRule="exact"/>
        <w:rPr>
          <w:sz w:val="20"/>
          <w:szCs w:val="20"/>
          <w:color w:val="auto"/>
        </w:rPr>
      </w:pPr>
    </w:p>
    <w:p>
      <w:pPr>
        <w:ind w:right="20" w:firstLine="615"/>
        <w:spacing w:after="0" w:line="272" w:lineRule="auto"/>
        <w:tabs>
          <w:tab w:leader="none" w:pos="121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Attorney’s Fees. </w:t>
      </w:r>
      <w:r>
        <w:rPr>
          <w:rFonts w:ascii="Times New Roman" w:cs="Times New Roman" w:eastAsia="Times New Roman" w:hAnsi="Times New Roman"/>
          <w:sz w:val="20"/>
          <w:szCs w:val="20"/>
          <w:color w:val="auto"/>
        </w:rPr>
        <w:t>Except as otherwise provided herein, each party shall bear its own attorney’s fees and costs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action or dispute arising out of this Agreement.</w:t>
      </w:r>
    </w:p>
    <w:p>
      <w:pPr>
        <w:spacing w:after="0" w:line="143" w:lineRule="exact"/>
        <w:rPr>
          <w:rFonts w:ascii="Times New Roman" w:cs="Times New Roman" w:eastAsia="Times New Roman" w:hAnsi="Times New Roman"/>
          <w:sz w:val="20"/>
          <w:szCs w:val="20"/>
          <w:color w:val="auto"/>
        </w:rPr>
      </w:pPr>
    </w:p>
    <w:p>
      <w:pPr>
        <w:jc w:val="both"/>
        <w:ind w:firstLine="615"/>
        <w:spacing w:after="0" w:line="254" w:lineRule="auto"/>
        <w:tabs>
          <w:tab w:leader="none" w:pos="121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No right or interest to, or in, any payments shall be assignable by the Executive; provided, however,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164" w:lineRule="exact"/>
        <w:rPr>
          <w:rFonts w:ascii="Times New Roman" w:cs="Times New Roman" w:eastAsia="Times New Roman" w:hAnsi="Times New Roman"/>
          <w:sz w:val="20"/>
          <w:szCs w:val="20"/>
          <w:color w:val="auto"/>
        </w:rPr>
      </w:pPr>
    </w:p>
    <w:p>
      <w:pPr>
        <w:jc w:val="both"/>
        <w:ind w:firstLine="615"/>
        <w:spacing w:after="0" w:line="252" w:lineRule="auto"/>
        <w:tabs>
          <w:tab w:leader="none" w:pos="121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this Agreement to the contrary, the provision,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and manner of payment or distribution of all compensation and benefits provided by this Agreement that constitute nonqualified deferred compensation subject to and not exempted from the requirements of Code Section 409A (“</w:t>
      </w:r>
      <w:r>
        <w:rPr>
          <w:rFonts w:ascii="Times New Roman" w:cs="Times New Roman" w:eastAsia="Times New Roman" w:hAnsi="Times New Roman"/>
          <w:sz w:val="20"/>
          <w:szCs w:val="20"/>
          <w:u w:val="single" w:color="auto"/>
          <w:color w:val="auto"/>
        </w:rPr>
        <w:t>Section 409A Deferred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including the following:</w:t>
      </w:r>
    </w:p>
    <w:p>
      <w:pPr>
        <w:spacing w:after="0" w:line="175" w:lineRule="exact"/>
        <w:rPr>
          <w:rFonts w:ascii="Times New Roman" w:cs="Times New Roman" w:eastAsia="Times New Roman" w:hAnsi="Times New Roman"/>
          <w:sz w:val="20"/>
          <w:szCs w:val="20"/>
          <w:color w:val="auto"/>
        </w:rPr>
      </w:pPr>
    </w:p>
    <w:p>
      <w:pPr>
        <w:jc w:val="both"/>
        <w:ind w:firstLine="1229"/>
        <w:spacing w:after="0" w:line="255" w:lineRule="auto"/>
        <w:tabs>
          <w:tab w:leader="none" w:pos="1841"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Payments and benefits constituting Section 409A Deferred Compensation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or provided pursuant to Section 8 upon the Executive’s termination of employment shall be paid or provided only at the time of a termination of the Executive’s employment that constitutes a Separation from Service. For the purposes of this Agreement, a “</w:t>
      </w:r>
      <w:r>
        <w:rPr>
          <w:rFonts w:ascii="Times New Roman" w:cs="Times New Roman" w:eastAsia="Times New Roman" w:hAnsi="Times New Roman"/>
          <w:sz w:val="20"/>
          <w:szCs w:val="20"/>
          <w:u w:val="single" w:color="auto"/>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from Service</w:t>
      </w:r>
      <w:r>
        <w:rPr>
          <w:rFonts w:ascii="Times New Roman" w:cs="Times New Roman" w:eastAsia="Times New Roman" w:hAnsi="Times New Roman"/>
          <w:sz w:val="20"/>
          <w:szCs w:val="20"/>
          <w:color w:val="auto"/>
        </w:rPr>
        <w:t>” is a separation from service within the meaning of Treasury Regulation Section 1.409A-1(h).</w:t>
      </w:r>
    </w:p>
    <w:p>
      <w:pPr>
        <w:spacing w:after="0" w:line="160" w:lineRule="exact"/>
        <w:rPr>
          <w:rFonts w:ascii="Times New Roman" w:cs="Times New Roman" w:eastAsia="Times New Roman" w:hAnsi="Times New Roman"/>
          <w:sz w:val="20"/>
          <w:szCs w:val="20"/>
          <w:color w:val="auto"/>
        </w:rPr>
      </w:pPr>
    </w:p>
    <w:p>
      <w:pPr>
        <w:jc w:val="both"/>
        <w:ind w:firstLine="1229"/>
        <w:spacing w:after="0" w:line="252" w:lineRule="auto"/>
        <w:tabs>
          <w:tab w:leader="none" w:pos="1839"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Six-M</w:t>
      </w:r>
      <w:r>
        <w:rPr>
          <w:rFonts w:ascii="Times New Roman" w:cs="Times New Roman" w:eastAsia="Times New Roman" w:hAnsi="Times New Roman"/>
          <w:sz w:val="20"/>
          <w:szCs w:val="20"/>
          <w:color w:val="auto"/>
        </w:rPr>
        <w:t>onth Delay Applicable to Specified Employees. If, at the time of a Separation from Service of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is a “specified employee” within the meaning of Section 409A(a)(2)(B)(i) (a “Specified Employee”), then any payments and benefits 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“Delayed Payment Date”), or (ii) the date or dates on which such Section 409A Deferred Compensation would otherwise be paid or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940"/>
          </w:cols>
          <w:pgMar w:left="320" w:top="1311" w:right="639" w:bottom="1440" w:gutter="0" w:footer="0" w:header="0"/>
        </w:sectPr>
      </w:pPr>
    </w:p>
    <w:bookmarkStart w:id="157" w:name="page158"/>
    <w:bookmarkEnd w:id="157"/>
    <w:p>
      <w:pPr>
        <w:spacing w:after="0" w:line="268" w:lineRule="auto"/>
        <w:rPr>
          <w:sz w:val="20"/>
          <w:szCs w:val="20"/>
          <w:color w:val="auto"/>
        </w:rPr>
      </w:pPr>
      <w:r>
        <w:rPr>
          <w:rFonts w:ascii="Times New Roman" w:cs="Times New Roman" w:eastAsia="Times New Roman" w:hAnsi="Times New Roman"/>
          <w:sz w:val="20"/>
          <w:szCs w:val="20"/>
          <w:color w:val="auto"/>
        </w:rPr>
        <w:t>accordance with Section 8. All such amounts that would, but for this Section 22(b), become payable prior to the Delayed Payment Date shall be accumulated and paid on the Delayed Payment Date.</w:t>
      </w:r>
    </w:p>
    <w:p>
      <w:pPr>
        <w:spacing w:after="0" w:line="160" w:lineRule="exact"/>
        <w:rPr>
          <w:sz w:val="20"/>
          <w:szCs w:val="20"/>
          <w:color w:val="auto"/>
        </w:rPr>
      </w:pPr>
    </w:p>
    <w:p>
      <w:pPr>
        <w:jc w:val="both"/>
        <w:ind w:firstLine="1229"/>
        <w:spacing w:after="0" w:line="248" w:lineRule="auto"/>
        <w:tabs>
          <w:tab w:leader="none" w:pos="184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and Estate Planning Benefits. </w:t>
      </w:r>
      <w:r>
        <w:rPr>
          <w:rFonts w:ascii="Times New Roman" w:cs="Times New Roman" w:eastAsia="Times New Roman" w:hAnsi="Times New Roman"/>
          <w:sz w:val="20"/>
          <w:szCs w:val="20"/>
          <w:color w:val="auto"/>
        </w:rPr>
        <w:t>In the event that all or any of the health care or estate planning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to be provided pursuant to Sections 8(a)(vii); 8(e)(i)(d) or 8(e)(i)(e) as a result of a Participant’s Separation from Service constitute Section 409A Deferred Compensation, the Company shall provide for such benefits constituting Section 409A Deferred Compensation in a manner that complies with Section 409A. To the extent necessary to comply with 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 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166" w:lineRule="exact"/>
        <w:rPr>
          <w:rFonts w:ascii="Times New Roman" w:cs="Times New Roman" w:eastAsia="Times New Roman" w:hAnsi="Times New Roman"/>
          <w:sz w:val="20"/>
          <w:szCs w:val="20"/>
          <w:color w:val="auto"/>
        </w:rPr>
      </w:pPr>
    </w:p>
    <w:p>
      <w:pPr>
        <w:jc w:val="both"/>
        <w:ind w:firstLine="1229"/>
        <w:spacing w:after="0" w:line="254" w:lineRule="auto"/>
        <w:tabs>
          <w:tab w:leader="none" w:pos="183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Stock-Based Awards. </w:t>
      </w:r>
      <w:r>
        <w:rPr>
          <w:rFonts w:ascii="Times New Roman" w:cs="Times New Roman" w:eastAsia="Times New Roman" w:hAnsi="Times New Roman"/>
          <w:sz w:val="20"/>
          <w:szCs w:val="20"/>
          <w:color w:val="auto"/>
        </w:rPr>
        <w:t>The vesting of any stock-based compensation awards which constitute 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Deferred 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 payable upon a Change in Control in accordance with Section 8(e) shall not be subject to this Section 22(d).</w:t>
      </w:r>
    </w:p>
    <w:p>
      <w:pPr>
        <w:spacing w:after="0" w:line="164" w:lineRule="exact"/>
        <w:rPr>
          <w:rFonts w:ascii="Times New Roman" w:cs="Times New Roman" w:eastAsia="Times New Roman" w:hAnsi="Times New Roman"/>
          <w:sz w:val="20"/>
          <w:szCs w:val="20"/>
          <w:color w:val="auto"/>
        </w:rPr>
      </w:pPr>
    </w:p>
    <w:p>
      <w:pPr>
        <w:jc w:val="both"/>
        <w:ind w:firstLine="1229"/>
        <w:spacing w:after="0" w:line="254" w:lineRule="auto"/>
        <w:tabs>
          <w:tab w:leader="none" w:pos="184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Notwithstanding any provision of this Agreement to the contrary, to the extent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64" w:lineRule="exact"/>
        <w:rPr>
          <w:rFonts w:ascii="Times New Roman" w:cs="Times New Roman" w:eastAsia="Times New Roman" w:hAnsi="Times New Roman"/>
          <w:sz w:val="20"/>
          <w:szCs w:val="20"/>
          <w:color w:val="auto"/>
        </w:rPr>
      </w:pPr>
    </w:p>
    <w:p>
      <w:pPr>
        <w:jc w:val="both"/>
        <w:ind w:firstLine="1229"/>
        <w:spacing w:after="0" w:line="262" w:lineRule="auto"/>
        <w:tabs>
          <w:tab w:leader="none" w:pos="183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Installments. </w:t>
      </w:r>
      <w:r>
        <w:rPr>
          <w:rFonts w:ascii="Times New Roman" w:cs="Times New Roman" w:eastAsia="Times New Roman" w:hAnsi="Times New Roman"/>
          <w:sz w:val="20"/>
          <w:szCs w:val="20"/>
          <w:color w:val="auto"/>
        </w:rPr>
        <w:t>The Executive’s right to receive any installment payments payable hereunder shall be treated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receive a series of separate payments and, accordingly, each such installment payment shall at all times be considered a separate and distinct payment for purposes of Section 409A.</w:t>
      </w:r>
    </w:p>
    <w:p>
      <w:pPr>
        <w:spacing w:after="0" w:line="154" w:lineRule="exact"/>
        <w:rPr>
          <w:rFonts w:ascii="Times New Roman" w:cs="Times New Roman" w:eastAsia="Times New Roman" w:hAnsi="Times New Roman"/>
          <w:sz w:val="20"/>
          <w:szCs w:val="20"/>
          <w:color w:val="auto"/>
        </w:rPr>
      </w:pPr>
    </w:p>
    <w:p>
      <w:pPr>
        <w:jc w:val="both"/>
        <w:ind w:firstLine="1229"/>
        <w:spacing w:after="0" w:line="254" w:lineRule="auto"/>
        <w:tabs>
          <w:tab w:leader="none" w:pos="183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Reimbursements. </w:t>
      </w:r>
      <w:r>
        <w:rPr>
          <w:rFonts w:ascii="Times New Roman" w:cs="Times New Roman" w:eastAsia="Times New Roman" w:hAnsi="Times New Roman"/>
          <w:sz w:val="20"/>
          <w:szCs w:val="20"/>
          <w:color w:val="auto"/>
        </w:rPr>
        <w:t>To the extent that any reimbursements payable to the Executive pursuant to this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of Section 409A of the Code, such reimbursements shall be paid to the Executive no later than December 31 of the year following the year in which the cost was incurred; the amount of expenses reimbursed in one year shall not affect the amount eligible for reimbursement in any subsequent year; and the Executive’s right to reimbursement under this Agreement will not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940"/>
          </w:cols>
          <w:pgMar w:left="320" w:top="1311" w:right="639" w:bottom="1440" w:gutter="0" w:footer="0" w:header="0"/>
        </w:sectPr>
      </w:pPr>
    </w:p>
    <w:bookmarkStart w:id="158" w:name="page159"/>
    <w:bookmarkEnd w:id="158"/>
    <w:p>
      <w:pPr>
        <w:jc w:val="both"/>
        <w:ind w:left="-2" w:firstLine="1229"/>
        <w:spacing w:after="0" w:line="261" w:lineRule="auto"/>
        <w:tabs>
          <w:tab w:leader="none" w:pos="1837" w:val="left"/>
        </w:tabs>
        <w:numPr>
          <w:ilvl w:val="2"/>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Rights of the Company; Release of Liability. </w:t>
      </w:r>
      <w:r>
        <w:rPr>
          <w:rFonts w:ascii="Times New Roman" w:cs="Times New Roman" w:eastAsia="Times New Roman" w:hAnsi="Times New Roman"/>
          <w:sz w:val="19"/>
          <w:szCs w:val="19"/>
          <w:color w:val="auto"/>
        </w:rPr>
        <w:t>It is the mutual intention of the Executive and the Company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 which payments would otherwise be made pursuant to this Agreement and (ii) 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56" w:lineRule="exact"/>
        <w:rPr>
          <w:rFonts w:ascii="Times New Roman" w:cs="Times New Roman" w:eastAsia="Times New Roman" w:hAnsi="Times New Roman"/>
          <w:sz w:val="19"/>
          <w:szCs w:val="19"/>
          <w:color w:val="auto"/>
        </w:rPr>
      </w:pPr>
    </w:p>
    <w:p>
      <w:pPr>
        <w:jc w:val="both"/>
        <w:ind w:left="-2" w:firstLine="616"/>
        <w:spacing w:after="0" w:line="262" w:lineRule="auto"/>
        <w:tabs>
          <w:tab w:leader="none" w:pos="1215"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Future Equity Compensation. </w:t>
      </w:r>
      <w:r>
        <w:rPr>
          <w:rFonts w:ascii="Times New Roman" w:cs="Times New Roman" w:eastAsia="Times New Roman" w:hAnsi="Times New Roman"/>
          <w:sz w:val="19"/>
          <w:szCs w:val="19"/>
          <w:color w:val="auto"/>
        </w:rPr>
        <w:t>The Executive understands and acknowledges that all awards, if any, of stock options,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restricted stock, performance shares, and other forms of equity compensation by the Company are made at the sole discretion of the Board or such other 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w:t>
      </w:r>
    </w:p>
    <w:p>
      <w:pPr>
        <w:spacing w:after="0" w:line="2" w:lineRule="exact"/>
        <w:rPr>
          <w:rFonts w:ascii="Times New Roman" w:cs="Times New Roman" w:eastAsia="Times New Roman" w:hAnsi="Times New Roman"/>
          <w:sz w:val="19"/>
          <w:szCs w:val="19"/>
          <w:color w:val="auto"/>
        </w:rPr>
      </w:pPr>
    </w:p>
    <w:p>
      <w:pPr>
        <w:jc w:val="both"/>
        <w:ind w:left="-2" w:firstLine="2"/>
        <w:spacing w:after="0" w:line="249" w:lineRule="auto"/>
        <w:tabs>
          <w:tab w:leader="none" w:pos="28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award which is nevertheless granted to the Executive after the intended commencement of the Initial Term or any Extension thereof for which the Executive has failed to sign such Agreement or applicable Extension amendment shall not vest unless and until the Executive has executed the Agreement or applicable Extension amendment, notwithstanding the provisions of any agreement evidencing such award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938"/>
          </w:cols>
          <w:pgMar w:left="322" w:top="1308" w:right="639" w:bottom="1440" w:gutter="0" w:footer="0" w:header="0"/>
        </w:sectPr>
      </w:pPr>
    </w:p>
    <w:bookmarkStart w:id="159" w:name="page160"/>
    <w:bookmarkEnd w:id="159"/>
    <w:p>
      <w:pPr>
        <w:ind w:left="1220" w:hanging="605"/>
        <w:spacing w:after="0"/>
        <w:tabs>
          <w:tab w:leader="none" w:pos="12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Counsel. </w:t>
      </w:r>
      <w:r>
        <w:rPr>
          <w:rFonts w:ascii="Times New Roman" w:cs="Times New Roman" w:eastAsia="Times New Roman" w:hAnsi="Times New Roman"/>
          <w:sz w:val="20"/>
          <w:szCs w:val="20"/>
          <w:color w:val="auto"/>
        </w:rPr>
        <w:t>The Executive has been advised of the Executive’s right to consult with counsel prior to executing this</w:t>
      </w:r>
    </w:p>
    <w:p>
      <w:pPr>
        <w:spacing w:after="0" w:line="2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Executive Employment Agreement effective as of the date and year first 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Ross Stores, Inc. and Subsidiaries</w:t>
            </w:r>
          </w:p>
        </w:tc>
        <w:tc>
          <w:tcPr>
            <w:tcW w:w="55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49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Jim Conroy</w:t>
            </w:r>
          </w:p>
        </w:tc>
        <w:tc>
          <w:tcPr>
            <w:tcW w:w="5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Karen Fleming</w:t>
            </w:r>
          </w:p>
        </w:tc>
      </w:tr>
      <w:tr>
        <w:trPr>
          <w:trHeight w:val="231"/>
        </w:trPr>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By: James G. Conroy</w:t>
            </w:r>
          </w:p>
        </w:tc>
        <w:tc>
          <w:tcPr>
            <w:tcW w:w="540" w:type="dxa"/>
            <w:vAlign w:val="bottom"/>
          </w:tcPr>
          <w:p>
            <w:pPr>
              <w:spacing w:after="0"/>
              <w:rPr>
                <w:sz w:val="20"/>
                <w:szCs w:val="20"/>
                <w:color w:val="auto"/>
              </w:rPr>
            </w:pPr>
          </w:p>
        </w:tc>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Karen Fleming</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c>
          <w:tcPr>
            <w:tcW w:w="5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&amp; Chief Merchandising Officer,</w:t>
            </w:r>
          </w:p>
        </w:tc>
      </w:tr>
      <w:tr>
        <w:trPr>
          <w:trHeight w:val="257"/>
        </w:trPr>
        <w:tc>
          <w:tcPr>
            <w:tcW w:w="4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Ross Dress for Less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940"/>
          </w:cols>
          <w:pgMar w:left="320" w:top="1308" w:right="6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color w:val="auto"/>
        </w:rPr>
        <w:t>Exhibit A to Executive Employment Agreement</w:t>
      </w:r>
    </w:p>
    <w:p>
      <w:pPr>
        <w:spacing w:after="0" w:line="200" w:lineRule="exact"/>
        <w:rPr>
          <w:sz w:val="20"/>
          <w:szCs w:val="20"/>
          <w:color w:val="auto"/>
        </w:rPr>
      </w:pPr>
    </w:p>
    <w:p>
      <w:pPr>
        <w:spacing w:after="0" w:line="35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SEPARATION AGREEMENT AND GENERAL RELEASE</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Confidential Separation Agreement and General Release (“Agreement”) is entered into by and between (“Executive”) and Ross Stores, Inc. and its subsidiaries (collectively “Ross” or “the Company”). In consideration for the mutual covenants and undertakings set forth below, Executive and Ross knowingly and voluntarily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-340995</wp:posOffset>
            </wp:positionV>
            <wp:extent cx="156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162" w:lineRule="exact"/>
        <w:rPr>
          <w:sz w:val="20"/>
          <w:szCs w:val="20"/>
          <w:color w:val="auto"/>
        </w:rPr>
      </w:pPr>
    </w:p>
    <w:p>
      <w:pPr>
        <w:ind w:left="600" w:hanging="598"/>
        <w:spacing w:after="0"/>
        <w:tabs>
          <w:tab w:leader="none" w:pos="6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Separat</w:t>
      </w:r>
      <w:r>
        <w:rPr>
          <w:rFonts w:ascii="Times New Roman" w:cs="Times New Roman" w:eastAsia="Times New Roman" w:hAnsi="Times New Roman"/>
          <w:sz w:val="18"/>
          <w:szCs w:val="18"/>
          <w:b w:val="1"/>
          <w:bCs w:val="1"/>
          <w:color w:val="auto"/>
        </w:rPr>
        <w: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Executive’s employment with Ross terminat</w:t>
      </w:r>
      <w:r>
        <w:rPr>
          <w:rFonts w:ascii="Times New Roman" w:cs="Times New Roman" w:eastAsia="Times New Roman" w:hAnsi="Times New Roman"/>
          <w:sz w:val="20"/>
          <w:szCs w:val="20"/>
          <w:color w:val="auto"/>
        </w:rPr>
        <w:t>es or terminated effective ______________ (the “Separation Date”).</w:t>
      </w:r>
    </w:p>
    <w:p>
      <w:pPr>
        <w:spacing w:after="0" w:line="217" w:lineRule="exact"/>
        <w:rPr>
          <w:rFonts w:ascii="Times New Roman" w:cs="Times New Roman" w:eastAsia="Times New Roman" w:hAnsi="Times New Roman"/>
          <w:sz w:val="20"/>
          <w:szCs w:val="20"/>
          <w:color w:val="auto"/>
        </w:rPr>
      </w:pPr>
    </w:p>
    <w:p>
      <w:pPr>
        <w:jc w:val="both"/>
        <w:ind w:left="620" w:hanging="618"/>
        <w:spacing w:after="0" w:line="256" w:lineRule="auto"/>
        <w:tabs>
          <w:tab w:leader="none" w:pos="61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Verification of Employment</w:t>
      </w:r>
      <w:r>
        <w:rPr>
          <w:rFonts w:ascii="Times New Roman" w:cs="Times New Roman" w:eastAsia="Times New Roman" w:hAnsi="Times New Roman"/>
          <w:sz w:val="20"/>
          <w:szCs w:val="20"/>
          <w:color w:val="auto"/>
        </w:rPr>
        <w:t>. Executive agrees to refer prospective employers or others seeking verification of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to the Company's third-party provider, The Work Number (1-800-367-5690 or http://www.theworknumber.com). The Work Number will verify Executive’s dates of employment and job title only.</w:t>
      </w:r>
    </w:p>
    <w:p>
      <w:pPr>
        <w:spacing w:after="0" w:line="172"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w:t>
      </w:r>
      <w:r>
        <w:rPr>
          <w:rFonts w:ascii="Times New Roman" w:cs="Times New Roman" w:eastAsia="Times New Roman" w:hAnsi="Times New Roman"/>
          <w:sz w:val="20"/>
          <w:szCs w:val="20"/>
          <w:color w:val="auto"/>
        </w:rPr>
        <w:t>. Ross shall pay and provide Executive the compensation and benefits set forth in Sections 8(a)(i)</w:t>
      </w:r>
    </w:p>
    <w:p>
      <w:pPr>
        <w:spacing w:after="0" w:line="26"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20"/>
          <w:szCs w:val="20"/>
          <w:color w:val="auto"/>
        </w:rPr>
        <w:t>through (vii) of the Executive Employment Agreement, dated (“Executive Agreement”) in accordance with the terms of those Sections and subject to the provisions in Section 17 of the Executive Agreement regarding mitigation.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-194310</wp:posOffset>
            </wp:positionV>
            <wp:extent cx="148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37" w:lineRule="exact"/>
        <w:rPr>
          <w:sz w:val="20"/>
          <w:szCs w:val="20"/>
          <w:color w:val="auto"/>
        </w:rPr>
      </w:pPr>
    </w:p>
    <w:p>
      <w:pPr>
        <w:jc w:val="both"/>
        <w:ind w:left="620" w:hanging="618"/>
        <w:spacing w:after="0" w:line="250" w:lineRule="auto"/>
        <w:tabs>
          <w:tab w:leader="none" w:pos="61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In consideration for Ross’ promises herein, Executive knowingly and voluntarily releases and forever discharges 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of its parent corporations, affiliates, subsidiaries, divisions, successors and assignees, as well as the current and former employees, attorneys, officers, directors, and agents thereof of each (collectively referred to throughout the remainder of this Agreement as “Releasees”),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81"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VII of the Civil Rights Act of 1964,</w:t>
      </w:r>
    </w:p>
    <w:p>
      <w:pPr>
        <w:spacing w:after="0" w:line="22"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National Labor Relations Act,</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Civil Rights Act of 1991</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1981 through 1988 of Title 42 of the United States Code,</w:t>
      </w: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Retirement Income Security Act of 1974,</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Immigration Reform and Control Act,</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of 1990, the Age Discrimination in Employment Act of 1967,</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Workers Adjustments and Retraining Notification Act,</w:t>
      </w:r>
    </w:p>
    <w:p>
      <w:pPr>
        <w:spacing w:after="0" w:line="8"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Occupational Safety and Health Act,</w:t>
      </w: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Sarbanes-Oxley Act of 2002</w:t>
      </w:r>
    </w:p>
    <w:p>
      <w:pPr>
        <w:spacing w:after="0" w:line="4" w:lineRule="exact"/>
        <w:rPr>
          <w:rFonts w:ascii="Times New Roman" w:cs="Times New Roman" w:eastAsia="Times New Roman" w:hAnsi="Times New Roman"/>
          <w:sz w:val="20"/>
          <w:szCs w:val="20"/>
          <w:color w:val="auto"/>
        </w:rPr>
      </w:pPr>
    </w:p>
    <w:p>
      <w:pPr>
        <w:ind w:left="1220" w:hanging="297"/>
        <w:spacing w:after="0"/>
        <w:tabs>
          <w:tab w:leader="none" w:pos="122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Equal Pay Act of 1963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5402580</wp:posOffset>
            </wp:positionH>
            <wp:positionV relativeFrom="paragraph">
              <wp:posOffset>733425</wp:posOffset>
            </wp:positionV>
            <wp:extent cx="14700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733425</wp:posOffset>
            </wp:positionV>
            <wp:extent cx="14617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978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940"/>
          </w:cols>
          <w:pgMar w:left="320" w:top="1001" w:right="639" w:bottom="1440" w:gutter="0" w:footer="0" w:header="0"/>
        </w:sectPr>
      </w:pPr>
    </w:p>
    <w:bookmarkStart w:id="161" w:name="page162"/>
    <w:bookmarkEnd w:id="161"/>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Civil Rights Act,</w:t>
      </w:r>
    </w:p>
    <w:p>
      <w:pPr>
        <w:spacing w:after="0" w:line="22"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Equal Pay Law</w:t>
      </w:r>
    </w:p>
    <w:p>
      <w:pPr>
        <w:spacing w:after="0" w:line="4"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Human Rights Law</w:t>
      </w:r>
    </w:p>
    <w:p>
      <w:pPr>
        <w:spacing w:after="0" w:line="8"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Labor Law</w:t>
      </w:r>
    </w:p>
    <w:p>
      <w:pPr>
        <w:spacing w:after="0" w:line="4"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Workers’ Compensation Law (Section 125)</w:t>
      </w:r>
    </w:p>
    <w:p>
      <w:pPr>
        <w:spacing w:after="0" w:line="8"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discrimination under the New York Corrections Law</w:t>
      </w: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City Administrative Code and Charter</w:t>
      </w:r>
    </w:p>
    <w:p>
      <w:pPr>
        <w:spacing w:after="0" w:line="4"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Discrimination in Employment Act</w:t>
      </w:r>
    </w:p>
    <w:p>
      <w:pPr>
        <w:spacing w:after="0" w:line="8"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Whistleblowers’ Protection Act</w:t>
      </w:r>
    </w:p>
    <w:p>
      <w:pPr>
        <w:spacing w:after="0" w:line="4"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Wage Payment and Collection Act</w:t>
      </w:r>
    </w:p>
    <w:p>
      <w:pPr>
        <w:spacing w:after="0" w:line="8"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Delaware Persons With Disabilities Employment Protections Act</w:t>
      </w:r>
    </w:p>
    <w:p>
      <w:pPr>
        <w:ind w:left="1238" w:right="840" w:hanging="317"/>
        <w:spacing w:after="0" w:line="246" w:lineRule="auto"/>
        <w:tabs>
          <w:tab w:leader="none" w:pos="122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as amended and any other federal, state or local civil or human rights law, any other local, state or federal law, regulation or ordinance</w:t>
      </w:r>
    </w:p>
    <w:p>
      <w:pPr>
        <w:spacing w:after="0" w:line="1" w:lineRule="exact"/>
        <w:rPr>
          <w:rFonts w:ascii="Times New Roman" w:cs="Times New Roman" w:eastAsia="Times New Roman" w:hAnsi="Times New Roman"/>
          <w:sz w:val="20"/>
          <w:szCs w:val="20"/>
          <w:color w:val="auto"/>
        </w:rPr>
      </w:pPr>
    </w:p>
    <w:p>
      <w:pPr>
        <w:ind w:left="1218" w:hanging="297"/>
        <w:spacing w:after="0"/>
        <w:tabs>
          <w:tab w:leader="none" w:pos="121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public policy, any contract, tort, or common law, and including any claims for costs, attorneys’ fees, or other expenses,</w:t>
      </w:r>
    </w:p>
    <w:p>
      <w:pPr>
        <w:spacing w:after="0" w:line="233" w:lineRule="exact"/>
        <w:rPr>
          <w:sz w:val="20"/>
          <w:szCs w:val="20"/>
          <w:color w:val="auto"/>
        </w:rPr>
      </w:pPr>
    </w:p>
    <w:p>
      <w:pPr>
        <w:ind w:left="618" w:right="20"/>
        <w:spacing w:after="0" w:line="268" w:lineRule="auto"/>
        <w:rPr>
          <w:sz w:val="20"/>
          <w:szCs w:val="20"/>
          <w:color w:val="auto"/>
        </w:rPr>
      </w:pPr>
      <w:r>
        <w:rPr>
          <w:rFonts w:ascii="Times New Roman" w:cs="Times New Roman" w:eastAsia="Times New Roman" w:hAnsi="Times New Roman"/>
          <w:sz w:val="20"/>
          <w:szCs w:val="20"/>
          <w:color w:val="auto"/>
        </w:rPr>
        <w:t>Notwithstanding anything set forth in this Agreement, this release of claims excludes and does not apply to any claims that cannot be released under applicable law, such as worker’s compensation and unemployment compensation claims.</w:t>
      </w:r>
    </w:p>
    <w:p>
      <w:pPr>
        <w:spacing w:after="0" w:line="186" w:lineRule="exact"/>
        <w:rPr>
          <w:sz w:val="20"/>
          <w:szCs w:val="20"/>
          <w:color w:val="auto"/>
        </w:rPr>
      </w:pPr>
    </w:p>
    <w:p>
      <w:pPr>
        <w:ind w:left="618" w:hanging="618"/>
        <w:spacing w:after="0" w:line="272" w:lineRule="auto"/>
        <w:tabs>
          <w:tab w:leader="none" w:pos="61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Filed Claims</w:t>
      </w:r>
      <w:r>
        <w:rPr>
          <w:rFonts w:ascii="Times New Roman" w:cs="Times New Roman" w:eastAsia="Times New Roman" w:hAnsi="Times New Roman"/>
          <w:sz w:val="20"/>
          <w:szCs w:val="20"/>
          <w:color w:val="auto"/>
        </w:rPr>
        <w:t>. Executive represents that, prior to Executive’s execution of this Agreement, Executive did not file any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or lawsuit against any of the Releasees with any court or regulatory agency or in any arbitral forum.</w:t>
      </w:r>
    </w:p>
    <w:p>
      <w:pPr>
        <w:spacing w:after="0" w:line="143" w:lineRule="exact"/>
        <w:rPr>
          <w:rFonts w:ascii="Times New Roman" w:cs="Times New Roman" w:eastAsia="Times New Roman" w:hAnsi="Times New Roman"/>
          <w:sz w:val="20"/>
          <w:szCs w:val="20"/>
          <w:color w:val="auto"/>
        </w:rPr>
      </w:pPr>
    </w:p>
    <w:p>
      <w:pPr>
        <w:jc w:val="both"/>
        <w:ind w:left="618" w:hanging="618"/>
        <w:spacing w:after="0" w:line="248" w:lineRule="auto"/>
        <w:tabs>
          <w:tab w:leader="none" w:pos="61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Participation/Communication Rights and Obligations</w:t>
      </w:r>
      <w:r>
        <w:rPr>
          <w:rFonts w:ascii="Times New Roman" w:cs="Times New Roman" w:eastAsia="Times New Roman" w:hAnsi="Times New Roman"/>
          <w:sz w:val="20"/>
          <w:szCs w:val="20"/>
          <w:color w:val="auto"/>
        </w:rPr>
        <w:t>. Nothing in this Agreement precludes Executive from filing a charge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To the fullest extent permitted by law, Executive hereby agrees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437515</wp:posOffset>
            </wp:positionV>
            <wp:extent cx="14700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wp:posOffset>
            </wp:positionV>
            <wp:extent cx="14617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
        <w:spacing w:after="0"/>
        <w:tabs>
          <w:tab w:leader="none" w:pos="9777"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61" w:lineRule="exact"/>
        <w:rPr>
          <w:sz w:val="20"/>
          <w:szCs w:val="20"/>
          <w:color w:val="auto"/>
        </w:rPr>
      </w:pPr>
    </w:p>
    <w:p>
      <w:pPr>
        <w:jc w:val="center"/>
        <w:ind w:right="-317"/>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938"/>
          </w:cols>
          <w:pgMar w:left="322" w:top="1043" w:right="639" w:bottom="1440" w:gutter="0" w:footer="0" w:header="0"/>
        </w:sectPr>
      </w:pPr>
    </w:p>
    <w:bookmarkStart w:id="162" w:name="page163"/>
    <w:bookmarkEnd w:id="162"/>
    <w:p>
      <w:pPr>
        <w:ind w:left="618"/>
        <w:spacing w:after="0" w:line="268" w:lineRule="auto"/>
        <w:rPr>
          <w:sz w:val="20"/>
          <w:szCs w:val="20"/>
          <w:color w:val="auto"/>
        </w:rPr>
      </w:pPr>
      <w:r>
        <w:rPr>
          <w:rFonts w:ascii="Times New Roman" w:cs="Times New Roman" w:eastAsia="Times New Roman" w:hAnsi="Times New Roman"/>
          <w:sz w:val="20"/>
          <w:szCs w:val="20"/>
          <w:color w:val="auto"/>
        </w:rPr>
        <w:t>proceeding, if the individual (A) files any document containing the trade secret under seal; and (B) does not disclose the trade secret, except pursuant to court order.</w:t>
      </w:r>
    </w:p>
    <w:p>
      <w:pPr>
        <w:spacing w:after="0" w:line="186" w:lineRule="exact"/>
        <w:rPr>
          <w:sz w:val="20"/>
          <w:szCs w:val="20"/>
          <w:color w:val="auto"/>
        </w:rPr>
      </w:pPr>
    </w:p>
    <w:p>
      <w:pPr>
        <w:jc w:val="both"/>
        <w:ind w:left="618" w:hanging="618"/>
        <w:spacing w:after="0" w:line="255" w:lineRule="auto"/>
        <w:tabs>
          <w:tab w:leader="none" w:pos="61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Compensation or Benefits</w:t>
      </w:r>
      <w:r>
        <w:rPr>
          <w:rFonts w:ascii="Times New Roman" w:cs="Times New Roman" w:eastAsia="Times New Roman" w:hAnsi="Times New Roman"/>
          <w:sz w:val="20"/>
          <w:szCs w:val="20"/>
          <w:color w:val="auto"/>
        </w:rPr>
        <w:t>. Executive affirms that Executive has been paid and/or has received all leave (paid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unpaid), 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186" w:lineRule="exact"/>
        <w:rPr>
          <w:rFonts w:ascii="Times New Roman" w:cs="Times New Roman" w:eastAsia="Times New Roman" w:hAnsi="Times New Roman"/>
          <w:sz w:val="20"/>
          <w:szCs w:val="20"/>
          <w:color w:val="auto"/>
        </w:rPr>
      </w:pPr>
    </w:p>
    <w:p>
      <w:pPr>
        <w:jc w:val="both"/>
        <w:ind w:left="618" w:hanging="618"/>
        <w:spacing w:after="0" w:line="252" w:lineRule="auto"/>
        <w:tabs>
          <w:tab w:leader="none" w:pos="61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Acknowledgements Regarding Employment Matters</w:t>
      </w:r>
      <w:r>
        <w:rPr>
          <w:rFonts w:ascii="Times New Roman" w:cs="Times New Roman" w:eastAsia="Times New Roman" w:hAnsi="Times New Roman"/>
          <w:sz w:val="20"/>
          <w:szCs w:val="20"/>
          <w:color w:val="auto"/>
        </w:rPr>
        <w:t>. Executive affirms that Executive has no known workplace injuries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occupational diseases and has been provided and/or has 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189" w:lineRule="exact"/>
        <w:rPr>
          <w:rFonts w:ascii="Times New Roman" w:cs="Times New Roman" w:eastAsia="Times New Roman" w:hAnsi="Times New Roman"/>
          <w:sz w:val="20"/>
          <w:szCs w:val="20"/>
          <w:color w:val="auto"/>
        </w:rPr>
      </w:pPr>
    </w:p>
    <w:p>
      <w:pPr>
        <w:jc w:val="both"/>
        <w:ind w:left="618" w:hanging="618"/>
        <w:spacing w:after="0" w:line="248" w:lineRule="auto"/>
        <w:tabs>
          <w:tab w:leader="none" w:pos="61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The parties expressly acknowledge that those certain employment obligations set forth in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specifically the non-compete provisions in Section 9(b), the non-solicitation of employees provisions in Section 9(c), the non-solicitation of third parties provisions in Section 9(d), and the non-disparagement provisions in Section 9(e) of the Executive Agreement, shall remain in full force and effect for the time period(s) specified in those provisions. In addition, to the extent applicable law considers the reason for termination in determining whether to enforce the employment obligations in Sections 9(b), (c) or (d),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 Notwithstanding anything set forth in this Agreement or in the Executive Agreement, the employment obligations referenced in this paragraph, and any claim or dispute arising therefrom, shall be governed, interpreted and enforced in accordance with the laws of the State of Delaware (where Ross is incorporated) without regard to its conflict or choice of law provisions.</w:t>
      </w:r>
    </w:p>
    <w:p>
      <w:pPr>
        <w:spacing w:after="0" w:line="179" w:lineRule="exact"/>
        <w:rPr>
          <w:rFonts w:ascii="Times New Roman" w:cs="Times New Roman" w:eastAsia="Times New Roman" w:hAnsi="Times New Roman"/>
          <w:sz w:val="20"/>
          <w:szCs w:val="20"/>
          <w:color w:val="auto"/>
        </w:rPr>
      </w:pPr>
    </w:p>
    <w:p>
      <w:pPr>
        <w:jc w:val="both"/>
        <w:ind w:left="618" w:hanging="618"/>
        <w:spacing w:after="0" w:line="265" w:lineRule="auto"/>
        <w:tabs>
          <w:tab w:leader="none" w:pos="607"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Return of Documents, Material, Information and Property</w:t>
      </w:r>
      <w:r>
        <w:rPr>
          <w:rFonts w:ascii="Times New Roman" w:cs="Times New Roman" w:eastAsia="Times New Roman" w:hAnsi="Times New Roman"/>
          <w:sz w:val="19"/>
          <w:szCs w:val="19"/>
          <w:color w:val="auto"/>
        </w:rPr>
        <w:t>. By no later than the Separation Date, Executive agrees to return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 learned in the course and scope of Executive’s employment (“Company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427990</wp:posOffset>
            </wp:positionV>
            <wp:extent cx="14700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14617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
        <w:spacing w:after="0"/>
        <w:tabs>
          <w:tab w:leader="none" w:pos="9777"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74"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938"/>
          </w:cols>
          <w:pgMar w:left="322" w:top="1247" w:right="639" w:bottom="1440" w:gutter="0" w:footer="0" w:header="0"/>
        </w:sectPr>
      </w:pPr>
    </w:p>
    <w:bookmarkStart w:id="163" w:name="page164"/>
    <w:bookmarkEnd w:id="163"/>
    <w:p>
      <w:pPr>
        <w:jc w:val="both"/>
        <w:ind w:left="618"/>
        <w:spacing w:after="0" w:line="253" w:lineRule="auto"/>
        <w:rPr>
          <w:sz w:val="20"/>
          <w:szCs w:val="20"/>
          <w:color w:val="auto"/>
        </w:rPr>
      </w:pPr>
      <w:r>
        <w:rPr>
          <w:rFonts w:ascii="Times New Roman" w:cs="Times New Roman" w:eastAsia="Times New Roman" w:hAnsi="Times New Roman"/>
          <w:sz w:val="20"/>
          <w:szCs w:val="20"/>
          <w:color w:val="auto"/>
        </w:rPr>
        <w:t>Executive represents that Executive has made a diligent search to locate any such documents, property and information, and that Executive has permanently deleted and expunged all Ross 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third-party and will not do so in the future.</w:t>
      </w:r>
    </w:p>
    <w:p>
      <w:pPr>
        <w:spacing w:after="0" w:line="191" w:lineRule="exact"/>
        <w:rPr>
          <w:sz w:val="20"/>
          <w:szCs w:val="20"/>
          <w:color w:val="auto"/>
        </w:rPr>
      </w:pPr>
    </w:p>
    <w:p>
      <w:pPr>
        <w:jc w:val="both"/>
        <w:ind w:left="618" w:hanging="618"/>
        <w:spacing w:after="0" w:line="249" w:lineRule="auto"/>
        <w:tabs>
          <w:tab w:leader="none" w:pos="6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Executive further agrees to be available as needed and fully cooperate with Ross in defending any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 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ensure a smooth transition of responsibilities and to minimize any adverse consequences of Executive’s departure.</w:t>
      </w:r>
    </w:p>
    <w:p>
      <w:pPr>
        <w:spacing w:after="0" w:line="206" w:lineRule="exact"/>
        <w:rPr>
          <w:rFonts w:ascii="Times New Roman" w:cs="Times New Roman" w:eastAsia="Times New Roman" w:hAnsi="Times New Roman"/>
          <w:sz w:val="20"/>
          <w:szCs w:val="20"/>
          <w:color w:val="auto"/>
        </w:rPr>
      </w:pPr>
    </w:p>
    <w:p>
      <w:pPr>
        <w:jc w:val="both"/>
        <w:ind w:left="618" w:hanging="618"/>
        <w:spacing w:after="0" w:line="255" w:lineRule="auto"/>
        <w:tabs>
          <w:tab w:leader="none" w:pos="60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Executive agrees that this is a private agreement and that Executive will not disclose or discuss the fact that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exists or discuss or disclose its terms with anyone other than Executive’s spouse, attorney, and accountant, or as required by law. Further, nothing in this Agreement shall limit the Executive’s right to disclose the underlying facts or circumstances of any claims of discrimination, harassment, sexual harassment, sexual assault, or retaliation.</w:t>
      </w:r>
    </w:p>
    <w:p>
      <w:pPr>
        <w:spacing w:after="0" w:line="186" w:lineRule="exact"/>
        <w:rPr>
          <w:rFonts w:ascii="Times New Roman" w:cs="Times New Roman" w:eastAsia="Times New Roman" w:hAnsi="Times New Roman"/>
          <w:sz w:val="20"/>
          <w:szCs w:val="20"/>
          <w:color w:val="auto"/>
        </w:rPr>
      </w:pPr>
    </w:p>
    <w:p>
      <w:pPr>
        <w:ind w:left="618" w:right="20" w:hanging="618"/>
        <w:spacing w:after="0" w:line="285" w:lineRule="auto"/>
        <w:tabs>
          <w:tab w:leader="none" w:pos="60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Except as required by law, Executive agrees not to make, publish or issue, or cause to be made, published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any untrue, disparaging or derogatory statements concerning the Company or any Releasee.</w:t>
      </w:r>
    </w:p>
    <w:p>
      <w:pPr>
        <w:spacing w:after="0" w:line="157" w:lineRule="exact"/>
        <w:rPr>
          <w:rFonts w:ascii="Times New Roman" w:cs="Times New Roman" w:eastAsia="Times New Roman" w:hAnsi="Times New Roman"/>
          <w:sz w:val="20"/>
          <w:szCs w:val="20"/>
          <w:color w:val="auto"/>
        </w:rPr>
      </w:pPr>
    </w:p>
    <w:p>
      <w:pPr>
        <w:ind w:left="618" w:hanging="618"/>
        <w:spacing w:after="0" w:line="272" w:lineRule="auto"/>
        <w:tabs>
          <w:tab w:leader="none" w:pos="60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Medicare Representation</w:t>
      </w:r>
      <w:r>
        <w:rPr>
          <w:rFonts w:ascii="Times New Roman" w:cs="Times New Roman" w:eastAsia="Times New Roman" w:hAnsi="Times New Roman"/>
          <w:sz w:val="20"/>
          <w:szCs w:val="20"/>
          <w:color w:val="auto"/>
        </w:rPr>
        <w:t>. Executive warrants that Executive is not a Medicare beneficiary as of the date of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no conditional payments are required to be made to Medicare.</w:t>
      </w:r>
    </w:p>
    <w:p>
      <w:pPr>
        <w:spacing w:after="0" w:line="156" w:lineRule="exact"/>
        <w:rPr>
          <w:rFonts w:ascii="Times New Roman" w:cs="Times New Roman" w:eastAsia="Times New Roman" w:hAnsi="Times New Roman"/>
          <w:sz w:val="20"/>
          <w:szCs w:val="20"/>
          <w:color w:val="auto"/>
        </w:rPr>
      </w:pPr>
    </w:p>
    <w:p>
      <w:pPr>
        <w:jc w:val="both"/>
        <w:ind w:left="618" w:hanging="618"/>
        <w:spacing w:after="0" w:line="263" w:lineRule="auto"/>
        <w:tabs>
          <w:tab w:leader="none" w:pos="607"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Code Section 409A</w:t>
      </w:r>
      <w:r>
        <w:rPr>
          <w:rFonts w:ascii="Times New Roman" w:cs="Times New Roman" w:eastAsia="Times New Roman" w:hAnsi="Times New Roman"/>
          <w:sz w:val="19"/>
          <w:szCs w:val="19"/>
          <w:color w:val="auto"/>
        </w:rPr>
        <w:t>. This Agreement is intended to comply with Section 409A of the Internal Revenue Code and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584200</wp:posOffset>
            </wp:positionV>
            <wp:extent cx="14700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584200</wp:posOffset>
            </wp:positionV>
            <wp:extent cx="14617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
        <w:spacing w:after="0"/>
        <w:tabs>
          <w:tab w:leader="none" w:pos="9777"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61"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938"/>
          </w:cols>
          <w:pgMar w:left="322" w:top="1248" w:right="639" w:bottom="1440" w:gutter="0" w:footer="0" w:header="0"/>
        </w:sectPr>
      </w:pPr>
    </w:p>
    <w:bookmarkStart w:id="164" w:name="page165"/>
    <w:bookmarkEnd w:id="164"/>
    <w:p>
      <w:pPr>
        <w:jc w:val="both"/>
        <w:ind w:left="618" w:hanging="618"/>
        <w:spacing w:after="0" w:line="262" w:lineRule="auto"/>
        <w:tabs>
          <w:tab w:leader="none" w:pos="60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Forum Selection</w:t>
      </w:r>
      <w:r>
        <w:rPr>
          <w:rFonts w:ascii="Times New Roman" w:cs="Times New Roman" w:eastAsia="Times New Roman" w:hAnsi="Times New Roman"/>
          <w:sz w:val="20"/>
          <w:szCs w:val="20"/>
          <w:color w:val="auto"/>
        </w:rPr>
        <w:t>. Any action arising out of this Agreement or an alleged breach of this Agreement shall be brought only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County of New York in the State of New York. Unless otherwise ordered, only the provisions of this Agreement in dispute or alleged to have been breached shall be disclosed in any such action.</w:t>
      </w:r>
    </w:p>
    <w:p>
      <w:pPr>
        <w:spacing w:after="0" w:line="180" w:lineRule="exact"/>
        <w:rPr>
          <w:rFonts w:ascii="Times New Roman" w:cs="Times New Roman" w:eastAsia="Times New Roman" w:hAnsi="Times New Roman"/>
          <w:sz w:val="20"/>
          <w:szCs w:val="20"/>
          <w:color w:val="auto"/>
        </w:rPr>
      </w:pPr>
    </w:p>
    <w:p>
      <w:pPr>
        <w:ind w:left="618" w:hanging="618"/>
        <w:spacing w:after="0" w:line="285" w:lineRule="auto"/>
        <w:tabs>
          <w:tab w:leader="none" w:pos="60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This Agreement shall be governed, interpreted and enforced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Ross is incorporated) without regard to its conflict or choice of law provisions.</w:t>
      </w:r>
    </w:p>
    <w:p>
      <w:pPr>
        <w:spacing w:after="0" w:line="157" w:lineRule="exact"/>
        <w:rPr>
          <w:rFonts w:ascii="Times New Roman" w:cs="Times New Roman" w:eastAsia="Times New Roman" w:hAnsi="Times New Roman"/>
          <w:sz w:val="20"/>
          <w:szCs w:val="20"/>
          <w:color w:val="auto"/>
        </w:rPr>
      </w:pPr>
    </w:p>
    <w:p>
      <w:pPr>
        <w:ind w:left="618" w:hanging="618"/>
        <w:spacing w:after="0" w:line="272" w:lineRule="auto"/>
        <w:tabs>
          <w:tab w:leader="none" w:pos="60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is found to be invalid or unenforceable, the remaining parts of the Agreement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remain in effect as if no invalid or unenforceable part existed.</w:t>
      </w:r>
    </w:p>
    <w:p>
      <w:pPr>
        <w:spacing w:after="0" w:line="182" w:lineRule="exact"/>
        <w:rPr>
          <w:rFonts w:ascii="Times New Roman" w:cs="Times New Roman" w:eastAsia="Times New Roman" w:hAnsi="Times New Roman"/>
          <w:sz w:val="20"/>
          <w:szCs w:val="20"/>
          <w:color w:val="auto"/>
        </w:rPr>
      </w:pPr>
    </w:p>
    <w:p>
      <w:pPr>
        <w:jc w:val="both"/>
        <w:ind w:left="618" w:hanging="618"/>
        <w:spacing w:after="0" w:line="248" w:lineRule="auto"/>
        <w:tabs>
          <w:tab w:leader="none" w:pos="60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sets forth the entire agreement between the parties hereto, and fully supersedes all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 Options Following Termination), Section 13 (Insurance and Indemnity), Section 17 (Mitigation), and Section 19 (Arbitration) and the “Arbitration Agreement” referenced therein,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205" w:lineRule="exact"/>
        <w:rPr>
          <w:rFonts w:ascii="Times New Roman" w:cs="Times New Roman" w:eastAsia="Times New Roman" w:hAnsi="Times New Roman"/>
          <w:sz w:val="20"/>
          <w:szCs w:val="20"/>
          <w:color w:val="auto"/>
        </w:rPr>
      </w:pPr>
    </w:p>
    <w:p>
      <w:pPr>
        <w:jc w:val="both"/>
        <w:ind w:left="618" w:right="20" w:hanging="618"/>
        <w:spacing w:after="0" w:line="256" w:lineRule="auto"/>
        <w:tabs>
          <w:tab w:leader="none" w:pos="60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 executed shall constitute one agreement binding on all of the parties hereto. The Agreement may be signed and transmitted electronically, and such signatures shall be binding and deemed originals for purposes of enforcing this Agreement.</w:t>
      </w:r>
    </w:p>
    <w:p>
      <w:pPr>
        <w:spacing w:after="0" w:line="172" w:lineRule="exact"/>
        <w:rPr>
          <w:rFonts w:ascii="Times New Roman" w:cs="Times New Roman" w:eastAsia="Times New Roman" w:hAnsi="Times New Roman"/>
          <w:sz w:val="20"/>
          <w:szCs w:val="20"/>
          <w:color w:val="auto"/>
        </w:rPr>
      </w:pPr>
    </w:p>
    <w:p>
      <w:pPr>
        <w:ind w:left="618" w:hanging="618"/>
        <w:spacing w:after="0" w:line="272" w:lineRule="auto"/>
        <w:tabs>
          <w:tab w:leader="none" w:pos="60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Advice of Counsel</w:t>
      </w:r>
      <w:r>
        <w:rPr>
          <w:rFonts w:ascii="Times New Roman" w:cs="Times New Roman" w:eastAsia="Times New Roman" w:hAnsi="Times New Roman"/>
          <w:sz w:val="20"/>
          <w:szCs w:val="20"/>
          <w:color w:val="auto"/>
        </w:rPr>
        <w:t>. Executive is advised to discuss this Agreement with an attorney of Executive’s choice and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has been given ample opportunity to do so and has, in fact, done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421640</wp:posOffset>
            </wp:positionV>
            <wp:extent cx="14700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421640</wp:posOffset>
            </wp:positionV>
            <wp:extent cx="14617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
        <w:spacing w:after="0"/>
        <w:tabs>
          <w:tab w:leader="none" w:pos="9777"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74"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938"/>
          </w:cols>
          <w:pgMar w:left="322" w:top="1039" w:right="639" w:bottom="1440" w:gutter="0" w:footer="0" w:header="0"/>
        </w:sectPr>
      </w:pPr>
    </w:p>
    <w:bookmarkStart w:id="165" w:name="page166"/>
    <w:bookmarkEnd w:id="165"/>
    <w:p>
      <w:pPr>
        <w:ind w:left="618" w:hanging="618"/>
        <w:spacing w:after="0" w:line="313" w:lineRule="auto"/>
        <w:tabs>
          <w:tab w:leader="none" w:pos="607"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Knowing and Voluntary</w:t>
      </w:r>
      <w:r>
        <w:rPr>
          <w:rFonts w:ascii="Times New Roman" w:cs="Times New Roman" w:eastAsia="Times New Roman" w:hAnsi="Times New Roman"/>
          <w:sz w:val="19"/>
          <w:szCs w:val="19"/>
          <w:color w:val="auto"/>
        </w:rPr>
        <w:t>. Executive acknowledges that Executive is entering into this Agreement freely, knowingly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voluntarily, without duress or coercion, and with a full understanding of its terms. Executive further acknowledges that Executive</w:t>
      </w:r>
    </w:p>
    <w:p>
      <w:pPr>
        <w:spacing w:after="0" w:line="99" w:lineRule="exact"/>
        <w:rPr>
          <w:rFonts w:ascii="Times New Roman" w:cs="Times New Roman" w:eastAsia="Times New Roman" w:hAnsi="Times New Roman"/>
          <w:sz w:val="19"/>
          <w:szCs w:val="19"/>
          <w:color w:val="auto"/>
        </w:rPr>
      </w:pPr>
    </w:p>
    <w:p>
      <w:pPr>
        <w:ind w:left="1218" w:hanging="604"/>
        <w:spacing w:after="0"/>
        <w:tabs>
          <w:tab w:leader="none" w:pos="121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carefully read and understands this Agreement;</w:t>
      </w:r>
    </w:p>
    <w:p>
      <w:pPr>
        <w:spacing w:after="0" w:line="217" w:lineRule="exact"/>
        <w:rPr>
          <w:rFonts w:ascii="Times New Roman" w:cs="Times New Roman" w:eastAsia="Times New Roman" w:hAnsi="Times New Roman"/>
          <w:sz w:val="20"/>
          <w:szCs w:val="20"/>
          <w:color w:val="auto"/>
        </w:rPr>
      </w:pPr>
    </w:p>
    <w:p>
      <w:pPr>
        <w:jc w:val="both"/>
        <w:ind w:left="618" w:hanging="4"/>
        <w:spacing w:after="0" w:line="260" w:lineRule="auto"/>
        <w:tabs>
          <w:tab w:leader="none" w:pos="123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through this Agreement, releasing Ross from any and all claims Executive may have against it that have arisen prior to or as of the date of this Agreement, including but not limited to, rights or claims arising under the Age Discrimination in Employment Act of 1967;</w:t>
      </w:r>
    </w:p>
    <w:p>
      <w:pPr>
        <w:spacing w:after="0" w:line="135" w:lineRule="exact"/>
        <w:rPr>
          <w:rFonts w:ascii="Times New Roman" w:cs="Times New Roman" w:eastAsia="Times New Roman" w:hAnsi="Times New Roman"/>
          <w:sz w:val="20"/>
          <w:szCs w:val="20"/>
          <w:color w:val="auto"/>
        </w:rPr>
      </w:pPr>
    </w:p>
    <w:p>
      <w:pPr>
        <w:ind w:left="1218" w:hanging="604"/>
        <w:spacing w:after="0"/>
        <w:tabs>
          <w:tab w:leader="none" w:pos="121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agrees to all of the terms set forth in this Agreement; and</w:t>
      </w:r>
    </w:p>
    <w:p>
      <w:pPr>
        <w:spacing w:after="0" w:line="204" w:lineRule="exact"/>
        <w:rPr>
          <w:rFonts w:ascii="Times New Roman" w:cs="Times New Roman" w:eastAsia="Times New Roman" w:hAnsi="Times New Roman"/>
          <w:sz w:val="20"/>
          <w:szCs w:val="20"/>
          <w:color w:val="auto"/>
        </w:rPr>
      </w:pPr>
    </w:p>
    <w:p>
      <w:pPr>
        <w:ind w:left="1218" w:hanging="604"/>
        <w:spacing w:after="0"/>
        <w:tabs>
          <w:tab w:leader="none" w:pos="121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intends to be legally bound by the terms of this Agreement;</w:t>
      </w:r>
    </w:p>
    <w:p>
      <w:pPr>
        <w:spacing w:after="0" w:line="243" w:lineRule="exact"/>
        <w:rPr>
          <w:sz w:val="20"/>
          <w:szCs w:val="20"/>
          <w:color w:val="auto"/>
        </w:rPr>
      </w:pPr>
    </w:p>
    <w:p>
      <w:pPr>
        <w:ind w:left="618" w:right="360"/>
        <w:spacing w:after="0" w:line="268" w:lineRule="auto"/>
        <w:rPr>
          <w:sz w:val="20"/>
          <w:szCs w:val="20"/>
          <w:color w:val="auto"/>
        </w:rPr>
      </w:pPr>
      <w:r>
        <w:rPr>
          <w:rFonts w:ascii="Times New Roman" w:cs="Times New Roman" w:eastAsia="Times New Roman" w:hAnsi="Times New Roman"/>
          <w:sz w:val="20"/>
          <w:szCs w:val="20"/>
          <w:color w:val="auto"/>
        </w:rPr>
        <w:t>The following subparagraphs shall be applicable only if Executive is forty years of age or older at the time Executive signs this Agreement.</w:t>
      </w:r>
    </w:p>
    <w:p>
      <w:pPr>
        <w:spacing w:after="0" w:line="152" w:lineRule="exact"/>
        <w:rPr>
          <w:sz w:val="20"/>
          <w:szCs w:val="20"/>
          <w:color w:val="auto"/>
        </w:rPr>
      </w:pPr>
    </w:p>
    <w:p>
      <w:pPr>
        <w:jc w:val="both"/>
        <w:ind w:left="618" w:hanging="4"/>
        <w:spacing w:after="0" w:line="260" w:lineRule="auto"/>
        <w:tabs>
          <w:tab w:leader="none" w:pos="1232"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147" w:lineRule="exact"/>
        <w:rPr>
          <w:rFonts w:ascii="Times New Roman" w:cs="Times New Roman" w:eastAsia="Times New Roman" w:hAnsi="Times New Roman"/>
          <w:sz w:val="20"/>
          <w:szCs w:val="20"/>
          <w:color w:val="auto"/>
        </w:rPr>
      </w:pPr>
    </w:p>
    <w:p>
      <w:pPr>
        <w:jc w:val="both"/>
        <w:ind w:left="618" w:hanging="4"/>
        <w:spacing w:after="0" w:line="253" w:lineRule="auto"/>
        <w:tabs>
          <w:tab w:leader="none" w:pos="122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a full seven (7) days following the execution of this Agreement to revoke this Agreement (the “Revocation Period") by providing written revocation notice to the Company’s General Counsel or such other person as the Company designates. The revocation must be personally delivered or mailed to the General Counsel or such other person as the Company designates at 1372 Broadway New York, NY 10018 and postmarked within seven (7) calendar days of Executive’s execution of this Agreement. This Agreement shall not become effective or enforceable until the Revocation Period has expired.</w:t>
      </w:r>
    </w:p>
    <w:p>
      <w:pPr>
        <w:spacing w:after="0" w:line="208" w:lineRule="exact"/>
        <w:rPr>
          <w:sz w:val="20"/>
          <w:szCs w:val="20"/>
          <w:color w:val="auto"/>
        </w:rPr>
      </w:pPr>
    </w:p>
    <w:p>
      <w:pPr>
        <w:ind w:left="18"/>
        <w:spacing w:after="0"/>
        <w:rPr>
          <w:sz w:val="20"/>
          <w:szCs w:val="20"/>
          <w:color w:val="auto"/>
        </w:rPr>
      </w:pPr>
      <w:r>
        <w:rPr>
          <w:rFonts w:ascii="Times New Roman" w:cs="Times New Roman" w:eastAsia="Times New Roman" w:hAnsi="Times New Roman"/>
          <w:sz w:val="20"/>
          <w:szCs w:val="20"/>
          <w:color w:val="auto"/>
        </w:rPr>
        <w:t>The parties hereto have knowingly and voluntarily executed this Agreement as of the date set forth below:</w:t>
      </w:r>
    </w:p>
    <w:p>
      <w:pPr>
        <w:sectPr>
          <w:pgSz w:w="11900" w:h="16838" w:orient="portrait"/>
          <w:cols w:equalWidth="0" w:num="1">
            <w:col w:w="10938"/>
          </w:cols>
          <w:pgMar w:left="322" w:top="1103" w:right="639" w:bottom="1440" w:gutter="0" w:footer="0" w:header="0"/>
        </w:sectPr>
      </w:pPr>
    </w:p>
    <w:p>
      <w:pPr>
        <w:spacing w:after="0" w:line="269"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[Executive Name]</w:t>
      </w:r>
    </w:p>
    <w:p>
      <w:pPr>
        <w:spacing w:after="0" w:line="200" w:lineRule="exact"/>
        <w:rPr>
          <w:sz w:val="20"/>
          <w:szCs w:val="20"/>
          <w:color w:val="auto"/>
        </w:rPr>
      </w:pPr>
    </w:p>
    <w:p>
      <w:pPr>
        <w:sectPr>
          <w:pgSz w:w="11900" w:h="16838" w:orient="portrait"/>
          <w:cols w:equalWidth="0" w:num="2">
            <w:col w:w="5078" w:space="720"/>
            <w:col w:w="5140"/>
          </w:cols>
          <w:pgMar w:left="322" w:top="110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9"/>
          <w:szCs w:val="19"/>
          <w:color w:val="auto"/>
        </w:rPr>
        <w:t>Dated:___________________________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__________________________________</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Ross Stores, Inc. and</w:t>
      </w:r>
    </w:p>
    <w:p>
      <w:pPr>
        <w:spacing w:after="0" w:line="51" w:lineRule="exact"/>
        <w:rPr>
          <w:sz w:val="20"/>
          <w:szCs w:val="20"/>
          <w:color w:val="auto"/>
        </w:rPr>
      </w:pPr>
    </w:p>
    <w:p>
      <w:pPr>
        <w:sectPr>
          <w:pgSz w:w="11900" w:h="16838" w:orient="portrait"/>
          <w:cols w:equalWidth="0" w:num="2">
            <w:col w:w="5078" w:space="720"/>
            <w:col w:w="5140"/>
          </w:cols>
          <w:pgMar w:left="322" w:top="1103" w:right="639" w:bottom="1440" w:gutter="0" w:footer="0" w:header="0"/>
          <w:type w:val="continuous"/>
        </w:sectPr>
      </w:pPr>
    </w:p>
    <w:p>
      <w:pPr>
        <w:ind w:left="6098"/>
        <w:spacing w:after="0"/>
        <w:rPr>
          <w:sz w:val="20"/>
          <w:szCs w:val="20"/>
          <w:color w:val="auto"/>
        </w:rPr>
      </w:pPr>
      <w:r>
        <w:rPr>
          <w:rFonts w:ascii="Times New Roman" w:cs="Times New Roman" w:eastAsia="Times New Roman" w:hAnsi="Times New Roman"/>
          <w:sz w:val="19"/>
          <w:szCs w:val="19"/>
          <w:color w:val="auto"/>
        </w:rPr>
        <w:t>Subsidiaries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676275</wp:posOffset>
            </wp:positionV>
            <wp:extent cx="14700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676275</wp:posOffset>
            </wp:positionV>
            <wp:extent cx="14617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ectPr>
          <w:pgSz w:w="11900" w:h="16838" w:orient="portrait"/>
          <w:cols w:equalWidth="0" w:num="1">
            <w:col w:w="10938"/>
          </w:cols>
          <w:pgMar w:left="322" w:top="110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
        <w:spacing w:after="0"/>
        <w:tabs>
          <w:tab w:leader="none" w:pos="9777"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19"/>
          <w:szCs w:val="19"/>
          <w:color w:val="auto"/>
        </w:rPr>
        <w:t>Ross' Initials</w:t>
      </w:r>
    </w:p>
    <w:p>
      <w:pPr>
        <w:spacing w:after="0" w:line="74"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938"/>
          </w:cols>
          <w:pgMar w:left="322" w:top="1103" w:right="63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7"/>
          <w:szCs w:val="17"/>
          <w:b w:val="1"/>
          <w:bCs w:val="1"/>
          <w:color w:val="auto"/>
        </w:rPr>
        <w:t>EXHIBIT 15</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June 2, 2026</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 Ross Stores, Inc.:</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5130 Hacienda Drive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Dublin, CA 94568</w:t>
      </w:r>
    </w:p>
    <w:p>
      <w:pPr>
        <w:spacing w:after="0" w:line="236"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We are aware that our report dated June 2, 2026, on our review of the interim financial information of Ross Stores, Inc. appearing in this Quarterly Report on Form 10-Q for the quarter ende</w:t>
      </w:r>
      <w:r>
        <w:rPr>
          <w:rFonts w:ascii="Times New Roman" w:cs="Times New Roman" w:eastAsia="Times New Roman" w:hAnsi="Times New Roman"/>
          <w:sz w:val="18"/>
          <w:szCs w:val="18"/>
          <w:color w:val="auto"/>
        </w:rPr>
        <w:t>d</w:t>
      </w:r>
      <w:r>
        <w:rPr>
          <w:rFonts w:ascii="Arial" w:cs="Arial" w:eastAsia="Arial" w:hAnsi="Arial"/>
          <w:sz w:val="17"/>
          <w:szCs w:val="17"/>
          <w:color w:val="auto"/>
        </w:rPr>
        <w:t xml:space="preserve"> May 2, 2026, is incorporated by reference in Registration Statements Nos. 333-210465, 333-218052, and 333-296092 on Form S-8.</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June 2, 2026</w:t>
      </w:r>
    </w:p>
    <w:p>
      <w:pPr>
        <w:sectPr>
          <w:pgSz w:w="11900" w:h="16838" w:orient="portrait"/>
          <w:cols w:equalWidth="0" w:num="1">
            <w:col w:w="11240"/>
          </w:cols>
          <w:pgMar w:left="320" w:top="1364" w:right="3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b w:val="1"/>
          <w:bCs w:val="1"/>
          <w:color w:val="auto"/>
        </w:rPr>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Ross Stores,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Pursuant to Sarbanes-Oxley Act Section 302(a)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James G. Conroy, certify that:</w:t>
      </w:r>
    </w:p>
    <w:p>
      <w:pPr>
        <w:spacing w:after="0" w:line="239" w:lineRule="exact"/>
        <w:rPr>
          <w:sz w:val="20"/>
          <w:szCs w:val="20"/>
          <w:color w:val="auto"/>
        </w:rPr>
      </w:pPr>
    </w:p>
    <w:p>
      <w:pPr>
        <w:ind w:left="300" w:hanging="298"/>
        <w:spacing w:after="0"/>
        <w:tabs>
          <w:tab w:leader="none" w:pos="3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Ross Stores, Inc.;</w:t>
      </w:r>
    </w:p>
    <w:p>
      <w:pPr>
        <w:spacing w:after="0" w:line="239" w:lineRule="exact"/>
        <w:rPr>
          <w:rFonts w:ascii="Arial" w:cs="Arial" w:eastAsia="Arial" w:hAnsi="Arial"/>
          <w:sz w:val="17"/>
          <w:szCs w:val="17"/>
          <w:color w:val="auto"/>
        </w:rPr>
      </w:pPr>
    </w:p>
    <w:p>
      <w:pPr>
        <w:jc w:val="both"/>
        <w:ind w:left="300" w:right="200" w:hanging="298"/>
        <w:spacing w:after="0" w:line="268" w:lineRule="auto"/>
        <w:tabs>
          <w:tab w:leader="none" w:pos="28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300" w:right="60" w:hanging="298"/>
        <w:spacing w:after="0" w:line="286" w:lineRule="auto"/>
        <w:tabs>
          <w:tab w:leader="none" w:pos="28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00" w:right="60" w:hanging="298"/>
        <w:spacing w:after="0" w:line="268" w:lineRule="auto"/>
        <w:tabs>
          <w:tab w:leader="none" w:pos="28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7"/>
          <w:szCs w:val="17"/>
          <w:color w:val="auto"/>
        </w:rPr>
      </w:pPr>
    </w:p>
    <w:p>
      <w:pPr>
        <w:ind w:left="620" w:right="420" w:hanging="311"/>
        <w:spacing w:after="0" w:line="268" w:lineRule="auto"/>
        <w:tabs>
          <w:tab w:leader="none" w:pos="61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620" w:right="340" w:hanging="311"/>
        <w:spacing w:after="0" w:line="268" w:lineRule="auto"/>
        <w:tabs>
          <w:tab w:leader="none" w:pos="61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jc w:val="both"/>
        <w:ind w:left="620" w:right="340" w:hanging="311"/>
        <w:spacing w:after="0" w:line="286" w:lineRule="auto"/>
        <w:tabs>
          <w:tab w:leader="none" w:pos="61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20" w:right="40" w:hanging="311"/>
        <w:spacing w:after="0" w:line="268" w:lineRule="auto"/>
        <w:tabs>
          <w:tab w:leader="none" w:pos="61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300" w:right="80" w:hanging="298"/>
        <w:spacing w:after="0" w:line="286" w:lineRule="auto"/>
        <w:tabs>
          <w:tab w:leader="none" w:pos="28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20" w:right="860" w:hanging="311"/>
        <w:spacing w:after="0" w:line="286" w:lineRule="auto"/>
        <w:tabs>
          <w:tab w:leader="none" w:pos="61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20" w:right="480" w:hanging="311"/>
        <w:spacing w:after="0" w:line="286" w:lineRule="auto"/>
        <w:tabs>
          <w:tab w:leader="none" w:pos="61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740" w:type="dxa"/>
            <w:vAlign w:val="bottom"/>
          </w:tcPr>
          <w:p>
            <w:pPr>
              <w:spacing w:after="0"/>
              <w:rPr>
                <w:sz w:val="20"/>
                <w:szCs w:val="20"/>
                <w:color w:val="auto"/>
              </w:rPr>
            </w:pPr>
            <w:r>
              <w:rPr>
                <w:rFonts w:ascii="Arial" w:cs="Arial" w:eastAsia="Arial" w:hAnsi="Arial"/>
                <w:sz w:val="17"/>
                <w:szCs w:val="17"/>
                <w:color w:val="auto"/>
              </w:rPr>
              <w:t>Date:   June 2, 2026</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James G. Conroy</w:t>
            </w:r>
          </w:p>
        </w:tc>
      </w:tr>
      <w:tr>
        <w:trPr>
          <w:trHeight w:val="206"/>
        </w:trPr>
        <w:tc>
          <w:tcPr>
            <w:tcW w:w="774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7"/>
                <w:szCs w:val="17"/>
                <w:color w:val="auto"/>
              </w:rPr>
              <w:t>James G. Conroy</w:t>
            </w:r>
          </w:p>
        </w:tc>
      </w:tr>
      <w:tr>
        <w:trPr>
          <w:trHeight w:val="224"/>
        </w:trPr>
        <w:tc>
          <w:tcPr>
            <w:tcW w:w="77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52" w:right="3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b w:val="1"/>
          <w:bCs w:val="1"/>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Ross Stores,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Pursuant to Sarbanes-Oxley Act Section 302(a)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William W. Sheehan II, certify that:</w:t>
      </w:r>
    </w:p>
    <w:p>
      <w:pPr>
        <w:spacing w:after="0" w:line="239" w:lineRule="exact"/>
        <w:rPr>
          <w:sz w:val="20"/>
          <w:szCs w:val="20"/>
          <w:color w:val="auto"/>
        </w:rPr>
      </w:pPr>
    </w:p>
    <w:p>
      <w:pPr>
        <w:ind w:left="300" w:hanging="298"/>
        <w:spacing w:after="0"/>
        <w:tabs>
          <w:tab w:leader="none" w:pos="3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Ross Stores, Inc.;</w:t>
      </w:r>
    </w:p>
    <w:p>
      <w:pPr>
        <w:spacing w:after="0" w:line="239" w:lineRule="exact"/>
        <w:rPr>
          <w:rFonts w:ascii="Arial" w:cs="Arial" w:eastAsia="Arial" w:hAnsi="Arial"/>
          <w:sz w:val="17"/>
          <w:szCs w:val="17"/>
          <w:color w:val="auto"/>
        </w:rPr>
      </w:pPr>
    </w:p>
    <w:p>
      <w:pPr>
        <w:jc w:val="both"/>
        <w:ind w:left="300" w:right="200" w:hanging="298"/>
        <w:spacing w:after="0" w:line="268" w:lineRule="auto"/>
        <w:tabs>
          <w:tab w:leader="none" w:pos="28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300" w:right="60" w:hanging="298"/>
        <w:spacing w:after="0" w:line="286" w:lineRule="auto"/>
        <w:tabs>
          <w:tab w:leader="none" w:pos="28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00" w:right="60" w:hanging="298"/>
        <w:spacing w:after="0" w:line="268" w:lineRule="auto"/>
        <w:tabs>
          <w:tab w:leader="none" w:pos="28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7"/>
          <w:szCs w:val="17"/>
          <w:color w:val="auto"/>
        </w:rPr>
      </w:pPr>
    </w:p>
    <w:p>
      <w:pPr>
        <w:ind w:left="620" w:right="420" w:hanging="311"/>
        <w:spacing w:after="0" w:line="268" w:lineRule="auto"/>
        <w:tabs>
          <w:tab w:leader="none" w:pos="61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620" w:right="340" w:hanging="311"/>
        <w:spacing w:after="0" w:line="268" w:lineRule="auto"/>
        <w:tabs>
          <w:tab w:leader="none" w:pos="61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jc w:val="both"/>
        <w:ind w:left="620" w:right="340" w:hanging="311"/>
        <w:spacing w:after="0" w:line="286" w:lineRule="auto"/>
        <w:tabs>
          <w:tab w:leader="none" w:pos="614"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20" w:right="40" w:hanging="311"/>
        <w:spacing w:after="0" w:line="268" w:lineRule="auto"/>
        <w:tabs>
          <w:tab w:leader="none" w:pos="61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300" w:right="80" w:hanging="298"/>
        <w:spacing w:after="0" w:line="286" w:lineRule="auto"/>
        <w:tabs>
          <w:tab w:leader="none" w:pos="28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20" w:right="860" w:hanging="311"/>
        <w:spacing w:after="0" w:line="286" w:lineRule="auto"/>
        <w:tabs>
          <w:tab w:leader="none" w:pos="61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20" w:right="480" w:hanging="311"/>
        <w:spacing w:after="0" w:line="286" w:lineRule="auto"/>
        <w:tabs>
          <w:tab w:leader="none" w:pos="61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Arial" w:cs="Arial" w:eastAsia="Arial" w:hAnsi="Arial"/>
                <w:sz w:val="17"/>
                <w:szCs w:val="17"/>
                <w:color w:val="auto"/>
              </w:rPr>
              <w:t>Date:   June 2, 2026</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William W. Sheehan II</w:t>
            </w:r>
          </w:p>
        </w:tc>
      </w:tr>
      <w:tr>
        <w:trPr>
          <w:trHeight w:val="206"/>
        </w:trPr>
        <w:tc>
          <w:tcPr>
            <w:tcW w:w="5480" w:type="dxa"/>
            <w:vAlign w:val="bottom"/>
          </w:tcPr>
          <w:p>
            <w:pPr>
              <w:spacing w:after="0"/>
              <w:rPr>
                <w:sz w:val="17"/>
                <w:szCs w:val="17"/>
                <w:color w:val="auto"/>
              </w:rPr>
            </w:pPr>
          </w:p>
        </w:tc>
        <w:tc>
          <w:tcPr>
            <w:tcW w:w="5440" w:type="dxa"/>
            <w:vAlign w:val="bottom"/>
          </w:tcPr>
          <w:p>
            <w:pPr>
              <w:ind w:left="20"/>
              <w:spacing w:after="0"/>
              <w:rPr>
                <w:sz w:val="20"/>
                <w:szCs w:val="20"/>
                <w:color w:val="auto"/>
              </w:rPr>
            </w:pPr>
            <w:r>
              <w:rPr>
                <w:rFonts w:ascii="Arial" w:cs="Arial" w:eastAsia="Arial" w:hAnsi="Arial"/>
                <w:sz w:val="17"/>
                <w:szCs w:val="17"/>
                <w:color w:val="auto"/>
              </w:rPr>
              <w:t>William W. Sheehan II</w:t>
            </w:r>
          </w:p>
        </w:tc>
      </w:tr>
      <w:tr>
        <w:trPr>
          <w:trHeight w:val="224"/>
        </w:trPr>
        <w:tc>
          <w:tcPr>
            <w:tcW w:w="548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7"/>
                <w:szCs w:val="17"/>
                <w:color w:val="auto"/>
              </w:rPr>
              <w:t>Executive Vice President, Chief Financial Officer</w:t>
            </w:r>
          </w:p>
        </w:tc>
      </w:tr>
    </w:tbl>
    <w:p>
      <w:pPr>
        <w:sectPr>
          <w:pgSz w:w="11900" w:h="16838" w:orient="portrait"/>
          <w:cols w:equalWidth="0" w:num="1">
            <w:col w:w="11240"/>
          </w:cols>
          <w:pgMar w:left="320" w:top="852" w:right="3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b w:val="1"/>
          <w:bCs w:val="1"/>
          <w:color w:val="auto"/>
        </w:rPr>
        <w:t>EXHIBIT 32.1</w:t>
      </w:r>
    </w:p>
    <w:p>
      <w:pPr>
        <w:spacing w:after="0" w:line="265" w:lineRule="exact"/>
        <w:rPr>
          <w:sz w:val="20"/>
          <w:szCs w:val="20"/>
          <w:color w:val="auto"/>
        </w:rPr>
      </w:pPr>
    </w:p>
    <w:p>
      <w:pPr>
        <w:ind w:right="5560"/>
        <w:spacing w:after="0" w:line="333" w:lineRule="auto"/>
        <w:rPr>
          <w:sz w:val="20"/>
          <w:szCs w:val="20"/>
          <w:color w:val="auto"/>
        </w:rPr>
      </w:pPr>
      <w:r>
        <w:rPr>
          <w:rFonts w:ascii="Arial" w:cs="Arial" w:eastAsia="Arial" w:hAnsi="Arial"/>
          <w:sz w:val="17"/>
          <w:szCs w:val="17"/>
          <w:color w:val="auto"/>
        </w:rPr>
        <w:t>Certification of Chief Executive Officer Pursuant to 18 U.S.C. Section 1350, As Adopted Pursuant to Section 906 of the Sarbanes-Oxley Act of 2002</w:t>
      </w:r>
    </w:p>
    <w:p>
      <w:pPr>
        <w:spacing w:after="0" w:line="161" w:lineRule="exact"/>
        <w:rPr>
          <w:sz w:val="20"/>
          <w:szCs w:val="20"/>
          <w:color w:val="auto"/>
        </w:rPr>
      </w:pPr>
    </w:p>
    <w:p>
      <w:pPr>
        <w:ind w:right="120"/>
        <w:spacing w:after="0" w:line="304" w:lineRule="auto"/>
        <w:rPr>
          <w:sz w:val="20"/>
          <w:szCs w:val="20"/>
          <w:color w:val="auto"/>
        </w:rPr>
      </w:pPr>
      <w:r>
        <w:rPr>
          <w:rFonts w:ascii="Arial" w:cs="Arial" w:eastAsia="Arial" w:hAnsi="Arial"/>
          <w:sz w:val="17"/>
          <w:szCs w:val="17"/>
          <w:color w:val="auto"/>
        </w:rPr>
        <w:t>In connection with the Quarterly Report of Ross Stores, Inc. (the “Company”) on Form 10-Q for the quarter ended May 2, 2026 as filed with the Securities and Exchange Commission on the date hereof (the "Report"), I, James G. Conroy, as Chief Executive Officer of the Company, hereby certify, pursuant to 18 U.S.C. Section 1350, as adopted pursuant to Section 906 of the Sarbanes-Oxley Act of 2002 (“Section 906”), that, to the best of my knowledge:</w:t>
      </w:r>
    </w:p>
    <w:p>
      <w:pPr>
        <w:spacing w:after="0" w:line="186" w:lineRule="exact"/>
        <w:rPr>
          <w:sz w:val="20"/>
          <w:szCs w:val="20"/>
          <w:color w:val="auto"/>
        </w:rPr>
      </w:pPr>
    </w:p>
    <w:p>
      <w:pPr>
        <w:ind w:left="600" w:hanging="598"/>
        <w:spacing w:after="0"/>
        <w:tabs>
          <w:tab w:leader="none" w:pos="6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(15 U.S.C. 78m); and</w:t>
      </w:r>
    </w:p>
    <w:p>
      <w:pPr>
        <w:spacing w:after="0" w:line="47" w:lineRule="exact"/>
        <w:rPr>
          <w:rFonts w:ascii="Arial" w:cs="Arial" w:eastAsia="Arial" w:hAnsi="Arial"/>
          <w:sz w:val="17"/>
          <w:szCs w:val="17"/>
          <w:color w:val="auto"/>
        </w:rPr>
      </w:pPr>
    </w:p>
    <w:p>
      <w:pPr>
        <w:ind w:left="620" w:right="600" w:hanging="618"/>
        <w:spacing w:after="0" w:line="318" w:lineRule="auto"/>
        <w:tabs>
          <w:tab w:leader="none" w:pos="61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40" w:type="dxa"/>
            <w:vAlign w:val="bottom"/>
          </w:tcPr>
          <w:p>
            <w:pPr>
              <w:spacing w:after="0"/>
              <w:rPr>
                <w:sz w:val="20"/>
                <w:szCs w:val="20"/>
                <w:color w:val="auto"/>
              </w:rPr>
            </w:pPr>
            <w:r>
              <w:rPr>
                <w:rFonts w:ascii="Arial" w:cs="Arial" w:eastAsia="Arial" w:hAnsi="Arial"/>
                <w:sz w:val="17"/>
                <w:szCs w:val="17"/>
                <w:color w:val="auto"/>
              </w:rPr>
              <w:t>Date:   June 2, 2026</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James G. Conroy</w:t>
            </w:r>
          </w:p>
        </w:tc>
      </w:tr>
      <w:tr>
        <w:trPr>
          <w:trHeight w:val="206"/>
        </w:trPr>
        <w:tc>
          <w:tcPr>
            <w:tcW w:w="704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7"/>
                <w:szCs w:val="17"/>
                <w:color w:val="auto"/>
              </w:rPr>
              <w:t>James G. Conroy</w:t>
            </w:r>
          </w:p>
        </w:tc>
      </w:tr>
      <w:tr>
        <w:trPr>
          <w:trHeight w:val="224"/>
        </w:trPr>
        <w:tc>
          <w:tcPr>
            <w:tcW w:w="70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20"/>
          </w:cols>
          <w:pgMar w:left="320" w:top="865" w:right="35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color w:val="auto"/>
        </w:rPr>
        <w:t>EXHIBIT 32.2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Chief Financial Officer Pursuant to 18 U.S.C. Section 1350,</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22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connection with the Quarterly Report of Ross Stores, Inc. (the “Company”) on Form 10-Q for the quarter ended May 2, 2026 as filed with the Securities and Exchange Commission on the date hereof (the "Report"), I, William W. Sheehan II, as Chief Financial Officer of the Company, hereby certify, pursuant to 18 U.S.C. Section 1350, as adopted pursuant to Section 906 of the Sarbanes-Oxley Act of 2002 (“Section 906”), that, to the best of my knowledge:</w:t>
      </w:r>
    </w:p>
    <w:p>
      <w:pPr>
        <w:spacing w:after="0" w:line="192" w:lineRule="exact"/>
        <w:rPr>
          <w:sz w:val="20"/>
          <w:szCs w:val="20"/>
          <w:color w:val="auto"/>
        </w:rPr>
      </w:pPr>
    </w:p>
    <w:p>
      <w:pPr>
        <w:ind w:left="600" w:hanging="598"/>
        <w:spacing w:after="0"/>
        <w:tabs>
          <w:tab w:leader="none" w:pos="6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(15 U.S.C. 78m); and</w:t>
      </w:r>
    </w:p>
    <w:p>
      <w:pPr>
        <w:spacing w:after="0" w:line="25" w:lineRule="exact"/>
        <w:rPr>
          <w:rFonts w:ascii="Arial" w:cs="Arial" w:eastAsia="Arial" w:hAnsi="Arial"/>
          <w:sz w:val="17"/>
          <w:szCs w:val="17"/>
          <w:color w:val="auto"/>
        </w:rPr>
      </w:pPr>
    </w:p>
    <w:p>
      <w:pPr>
        <w:ind w:left="620" w:right="620" w:hanging="618"/>
        <w:spacing w:after="0" w:line="267" w:lineRule="auto"/>
        <w:tabs>
          <w:tab w:leader="none" w:pos="61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Arial" w:cs="Arial" w:eastAsia="Arial" w:hAnsi="Arial"/>
                <w:sz w:val="17"/>
                <w:szCs w:val="17"/>
                <w:color w:val="auto"/>
              </w:rPr>
              <w:t>Date:   June 2, 2026</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William W. Sheehan II</w:t>
            </w:r>
          </w:p>
        </w:tc>
      </w:tr>
      <w:tr>
        <w:trPr>
          <w:trHeight w:val="206"/>
        </w:trPr>
        <w:tc>
          <w:tcPr>
            <w:tcW w:w="5780" w:type="dxa"/>
            <w:vAlign w:val="bottom"/>
          </w:tcPr>
          <w:p>
            <w:pPr>
              <w:spacing w:after="0"/>
              <w:rPr>
                <w:sz w:val="17"/>
                <w:szCs w:val="17"/>
                <w:color w:val="auto"/>
              </w:rPr>
            </w:pPr>
          </w:p>
        </w:tc>
        <w:tc>
          <w:tcPr>
            <w:tcW w:w="5440" w:type="dxa"/>
            <w:vAlign w:val="bottom"/>
          </w:tcPr>
          <w:p>
            <w:pPr>
              <w:ind w:left="20"/>
              <w:spacing w:after="0"/>
              <w:rPr>
                <w:sz w:val="20"/>
                <w:szCs w:val="20"/>
                <w:color w:val="auto"/>
              </w:rPr>
            </w:pPr>
            <w:r>
              <w:rPr>
                <w:rFonts w:ascii="Arial" w:cs="Arial" w:eastAsia="Arial" w:hAnsi="Arial"/>
                <w:sz w:val="17"/>
                <w:szCs w:val="17"/>
                <w:color w:val="auto"/>
              </w:rPr>
              <w:t>William W. Sheehan II</w:t>
            </w:r>
          </w:p>
        </w:tc>
      </w:tr>
      <w:tr>
        <w:trPr>
          <w:trHeight w:val="224"/>
        </w:trPr>
        <w:tc>
          <w:tcPr>
            <w:tcW w:w="578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7"/>
                <w:szCs w:val="17"/>
                <w:color w:val="auto"/>
              </w:rPr>
              <w:t>Executive Vice President, Chief Financial Officer</w:t>
            </w:r>
          </w:p>
        </w:tc>
      </w:tr>
    </w:tbl>
    <w:p>
      <w:pPr>
        <w:spacing w:after="0" w:line="1" w:lineRule="exact"/>
        <w:rPr>
          <w:sz w:val="20"/>
          <w:szCs w:val="20"/>
          <w:color w:val="auto"/>
        </w:rPr>
      </w:pP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1"/>
      <w:numFmt w:val="bullet"/>
      <w:start w:val="1"/>
    </w:lvl>
  </w:abstractNum>
  <w:abstractNum w:abstractNumId="2">
    <w:nsid w:val="1D9F6E5F"/>
    <w:multiLevelType w:val="hybridMultilevel"/>
    <w:lvl w:ilvl="0">
      <w:lvlJc w:val="left"/>
      <w:lvlText w:val="1"/>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1"/>
      <w:numFmt w:val="bullet"/>
      <w:start w:val="1"/>
    </w:lvl>
  </w:abstractNum>
  <w:abstractNum w:abstractNumId="8">
    <w:nsid w:val="7C58FD05"/>
    <w:multiLevelType w:val="hybridMultilevel"/>
    <w:lvl w:ilvl="0">
      <w:lvlJc w:val="left"/>
      <w:lvlText w:val="%1"/>
      <w:numFmt w:val="decimal"/>
      <w:start w:val="15"/>
    </w:lvl>
  </w:abstractNum>
  <w:abstractNum w:abstractNumId="9">
    <w:nsid w:val="23D86AAC"/>
    <w:multiLevelType w:val="hybridMultilevel"/>
    <w:lvl w:ilvl="0">
      <w:lvlJc w:val="left"/>
      <w:lvlText w:val="%1"/>
      <w:numFmt w:val="decimal"/>
      <w:start w:val="104"/>
    </w:lvl>
  </w:abstractNum>
  <w:abstractNum w:abstractNumId="10">
    <w:nsid w:val="45E6D486"/>
    <w:multiLevelType w:val="hybridMultilevel"/>
    <w:lvl w:ilvl="0">
      <w:lvlJc w:val="left"/>
      <w:lvlText w:val="%1."/>
      <w:numFmt w:val="upperLetter"/>
      <w:start w:val="1"/>
    </w:lvl>
  </w:abstractNum>
  <w:abstractNum w:abstractNumId="11">
    <w:nsid w:val="5C10FE21"/>
    <w:multiLevelType w:val="hybridMultilevel"/>
    <w:lvl w:ilvl="0">
      <w:lvlJc w:val="left"/>
      <w:lvlText w:val="%1."/>
      <w:numFmt w:val="decimal"/>
      <w:start w:val="1"/>
    </w:lvl>
    <w:lvl w:ilvl="1">
      <w:lvlJc w:val="left"/>
      <w:lvlText w:val="(%2)"/>
      <w:numFmt w:val="lowerLetter"/>
      <w:start w:val="1"/>
    </w:lvl>
  </w:abstractNum>
  <w:abstractNum w:abstractNumId="12">
    <w:nsid w:val="E7FFA2B"/>
    <w:multiLevelType w:val="hybridMultilevel"/>
    <w:lvl w:ilvl="0">
      <w:lvlJc w:val="left"/>
      <w:lvlText w:val="%1."/>
      <w:numFmt w:val="decimal"/>
      <w:start w:val="2"/>
    </w:lvl>
    <w:lvl w:ilvl="1">
      <w:lvlJc w:val="left"/>
      <w:lvlText w:val="(%2)"/>
      <w:numFmt w:val="lowerLetter"/>
      <w:start w:val="1"/>
    </w:lvl>
  </w:abstractNum>
  <w:abstractNum w:abstractNumId="13">
    <w:nsid w:val="3C5991AA"/>
    <w:multiLevelType w:val="hybridMultilevel"/>
    <w:lvl w:ilvl="0">
      <w:lvlJc w:val="left"/>
      <w:lvlText w:val="%1"/>
      <w:numFmt w:val="decimal"/>
      <w:start w:val="1"/>
    </w:lvl>
    <w:lvl w:ilvl="1">
      <w:lvlJc w:val="left"/>
      <w:lvlText w:val="(%2)"/>
      <w:numFmt w:val="lowerLetter"/>
      <w:start w:val="5"/>
    </w:lvl>
  </w:abstractNum>
  <w:abstractNum w:abstractNumId="14">
    <w:nsid w:val="4BD8591A"/>
    <w:multiLevelType w:val="hybridMultilevel"/>
    <w:lvl w:ilvl="0">
      <w:lvlJc w:val="left"/>
      <w:lvlText w:val="%1."/>
      <w:numFmt w:val="decimal"/>
      <w:start w:val="5"/>
    </w:lvl>
    <w:lvl w:ilvl="1">
      <w:lvlJc w:val="left"/>
      <w:lvlText w:val="(%2)"/>
      <w:numFmt w:val="lowerLetter"/>
      <w:start w:val="1"/>
    </w:lvl>
  </w:abstractNum>
  <w:abstractNum w:abstractNumId="15">
    <w:nsid w:val="78DF6A55"/>
    <w:multiLevelType w:val="hybridMultilevel"/>
    <w:lvl w:ilvl="0">
      <w:lvlJc w:val="left"/>
      <w:lvlText w:val="(%1)"/>
      <w:numFmt w:val="lowerLetter"/>
      <w:start w:val="4"/>
    </w:lvl>
  </w:abstractNum>
  <w:abstractNum w:abstractNumId="16">
    <w:nsid w:val="39B7AAA2"/>
    <w:multiLevelType w:val="hybridMultilevel"/>
    <w:lvl w:ilvl="0">
      <w:lvlJc w:val="left"/>
      <w:lvlText w:val="(%1)"/>
      <w:numFmt w:val="lowerLetter"/>
      <w:start w:val="8"/>
    </w:lvl>
  </w:abstractNum>
  <w:abstractNum w:abstractNumId="17">
    <w:nsid w:val="2B0D8DBE"/>
    <w:multiLevelType w:val="hybridMultilevel"/>
    <w:lvl w:ilvl="0">
      <w:lvlJc w:val="left"/>
      <w:lvlText w:val="(%1)"/>
      <w:numFmt w:val="lowerLetter"/>
      <w:start w:val="12"/>
    </w:lvl>
  </w:abstractNum>
  <w:abstractNum w:abstractNumId="18">
    <w:nsid w:val="6C80EC70"/>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9">
    <w:nsid w:val="379E21B5"/>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20">
    <w:nsid w:val="69E373"/>
    <w:multiLevelType w:val="hybridMultilevel"/>
    <w:lvl w:ilvl="0">
      <w:lvlJc w:val="left"/>
      <w:lvlText w:val="(%1)"/>
      <w:numFmt w:val="lowerLetter"/>
      <w:start w:val="4"/>
    </w:lvl>
    <w:lvl w:ilvl="1">
      <w:lvlJc w:val="left"/>
      <w:lvlText w:val="(%2)"/>
      <w:numFmt w:val="lowerRoman"/>
      <w:start w:val="1"/>
    </w:lvl>
  </w:abstractNum>
  <w:abstractNum w:abstractNumId="21">
    <w:nsid w:val="2C27173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
    <w:nsid w:val="4C9B09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6AA7B75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4">
    <w:nsid w:val="1DF029D3"/>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25">
    <w:nsid w:val="5675FF36"/>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6">
    <w:nsid w:val="3DD15094"/>
    <w:multiLevelType w:val="hybridMultilevel"/>
    <w:lvl w:ilvl="0">
      <w:lvlJc w:val="left"/>
      <w:lvlText w:val="(%1)"/>
      <w:numFmt w:val="lowerRoman"/>
      <w:start w:val="3"/>
    </w:lvl>
  </w:abstractNum>
  <w:abstractNum w:abstractNumId="27">
    <w:nsid w:val="3DB012B3"/>
    <w:multiLevelType w:val="hybridMultilevel"/>
    <w:lvl w:ilvl="0">
      <w:lvlJc w:val="left"/>
      <w:lvlText w:val="(%1)"/>
      <w:numFmt w:val="lowerRoman"/>
      <w:start w:val="7"/>
    </w:lvl>
  </w:abstractNum>
  <w:abstractNum w:abstractNumId="28">
    <w:nsid w:val="2708C9AF"/>
    <w:multiLevelType w:val="hybridMultilevel"/>
    <w:lvl w:ilvl="0">
      <w:lvlJc w:val="left"/>
      <w:lvlText w:val="(%1)"/>
      <w:numFmt w:val="lowerLetter"/>
      <w:start w:val="2"/>
    </w:lvl>
  </w:abstractNum>
  <w:abstractNum w:abstractNumId="29">
    <w:nsid w:val="5B25ACE2"/>
    <w:multiLevelType w:val="hybridMultilevel"/>
    <w:lvl w:ilvl="0">
      <w:lvlJc w:val="left"/>
      <w:lvlText w:val="(%1)"/>
      <w:numFmt w:val="lowerLetter"/>
      <w:start w:val="3"/>
    </w:lvl>
    <w:lvl w:ilvl="1">
      <w:lvlJc w:val="left"/>
      <w:lvlText w:val="(%2)"/>
      <w:numFmt w:val="lowerRoman"/>
      <w:start w:val="1"/>
    </w:lvl>
  </w:abstractNum>
  <w:abstractNum w:abstractNumId="30">
    <w:nsid w:val="175DFCF0"/>
    <w:multiLevelType w:val="hybridMultilevel"/>
    <w:lvl w:ilvl="0">
      <w:lvlJc w:val="left"/>
      <w:lvlText w:val="(%1)"/>
      <w:numFmt w:val="lowerRoman"/>
      <w:start w:val="1"/>
    </w:lvl>
  </w:abstractNum>
  <w:abstractNum w:abstractNumId="31">
    <w:nsid w:val="4F97E3E4"/>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32">
    <w:nsid w:val="53B0A9E"/>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1"/>
    </w:lvl>
  </w:abstractNum>
  <w:abstractNum w:abstractNumId="33">
    <w:nsid w:val="34FD6B4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34">
    <w:nsid w:val="5915FF32"/>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35">
    <w:nsid w:val="56438D15"/>
    <w:multiLevelType w:val="hybridMultilevel"/>
    <w:lvl w:ilvl="0">
      <w:lvlJc w:val="left"/>
      <w:lvlText w:val="%1"/>
      <w:numFmt w:val="lowerRoman"/>
      <w:start w:val="1"/>
    </w:lvl>
    <w:lvl w:ilvl="1">
      <w:lvlJc w:val="left"/>
      <w:lvlText w:val="(%2)"/>
      <w:numFmt w:val="decimal"/>
      <w:start w:val="2"/>
    </w:lvl>
  </w:abstractNum>
  <w:abstractNum w:abstractNumId="36">
    <w:nsid w:val="519E3149"/>
    <w:multiLevelType w:val="hybridMultilevel"/>
    <w:lvl w:ilvl="0">
      <w:lvlJc w:val="left"/>
      <w:lvlText w:val="(%1)"/>
      <w:numFmt w:val="lowerRoman"/>
      <w:start w:val="3"/>
    </w:lvl>
    <w:lvl w:ilvl="1">
      <w:lvlJc w:val="left"/>
      <w:lvlText w:val="%2"/>
      <w:numFmt w:val="decimal"/>
      <w:start w:val="1"/>
    </w:lvl>
  </w:abstractNum>
  <w:abstractNum w:abstractNumId="37">
    <w:nsid w:val="2C6E4AFD"/>
    <w:multiLevelType w:val="hybridMultilevel"/>
    <w:lvl w:ilvl="0">
      <w:lvlJc w:val="left"/>
      <w:lvlText w:val="(%1)"/>
      <w:numFmt w:val="lowerRoman"/>
      <w:start w:val="4"/>
    </w:lvl>
  </w:abstractNum>
  <w:abstractNum w:abstractNumId="38">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9">
    <w:nsid w:val="4DF72E4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0">
    <w:nsid w:val="5046B5A9"/>
    <w:multiLevelType w:val="hybridMultilevel"/>
    <w:lvl w:ilvl="0">
      <w:lvlJc w:val="left"/>
      <w:lvlText w:val="%1"/>
      <w:numFmt w:val="decimal"/>
      <w:start w:val="1"/>
    </w:lvl>
    <w:lvl w:ilvl="1">
      <w:lvlJc w:val="left"/>
      <w:lvlText w:val="(%2)"/>
      <w:numFmt w:val="lowerLetter"/>
      <w:start w:val="3"/>
    </w:lvl>
  </w:abstractNum>
  <w:abstractNum w:abstractNumId="41">
    <w:nsid w:val="5D888A08"/>
    <w:multiLevelType w:val="hybridMultilevel"/>
    <w:lvl w:ilvl="0">
      <w:lvlJc w:val="left"/>
      <w:lvlText w:val="%1."/>
      <w:numFmt w:val="decimal"/>
      <w:start w:val="10"/>
    </w:lvl>
    <w:lvl w:ilvl="1">
      <w:lvlJc w:val="left"/>
      <w:lvlText w:val="(%2)"/>
      <w:numFmt w:val="lowerLetter"/>
      <w:start w:val="1"/>
    </w:lvl>
  </w:abstractNum>
  <w:abstractNum w:abstractNumId="42">
    <w:nsid w:val="2A082C70"/>
    <w:multiLevelType w:val="hybridMultilevel"/>
    <w:lvl w:ilvl="0">
      <w:lvlJc w:val="left"/>
      <w:lvlText w:val="(%1)"/>
      <w:numFmt w:val="lowerLetter"/>
      <w:start w:val="2"/>
    </w:lvl>
    <w:lvl w:ilvl="1">
      <w:lvlJc w:val="left"/>
      <w:lvlText w:val="(%2)"/>
      <w:numFmt w:val="lowerRoman"/>
      <w:start w:val="1"/>
    </w:lvl>
  </w:abstractNum>
  <w:abstractNum w:abstractNumId="43">
    <w:nsid w:val="5EC6AF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4">
    <w:nsid w:val="19E21BB2"/>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45">
    <w:nsid w:val="75E0858A"/>
    <w:multiLevelType w:val="hybridMultilevel"/>
    <w:lvl w:ilvl="0">
      <w:lvlJc w:val="left"/>
      <w:lvlText w:val="%1."/>
      <w:numFmt w:val="decimal"/>
      <w:start w:val="12"/>
    </w:lvl>
  </w:abstractNum>
  <w:abstractNum w:abstractNumId="46">
    <w:nsid w:val="57A61A29"/>
    <w:multiLevelType w:val="hybridMultilevel"/>
    <w:lvl w:ilvl="0">
      <w:lvlJc w:val="left"/>
      <w:lvlText w:val="%1."/>
      <w:numFmt w:val="decimal"/>
      <w:start w:val="15"/>
    </w:lvl>
  </w:abstractNum>
  <w:abstractNum w:abstractNumId="47">
    <w:nsid w:val="5399C654"/>
    <w:multiLevelType w:val="hybridMultilevel"/>
    <w:lvl w:ilvl="0">
      <w:lvlJc w:val="left"/>
      <w:lvlText w:val="%1."/>
      <w:numFmt w:val="decimal"/>
      <w:start w:val="16"/>
    </w:lvl>
  </w:abstractNum>
  <w:abstractNum w:abstractNumId="48">
    <w:nsid w:val="20EE1348"/>
    <w:multiLevelType w:val="hybridMultilevel"/>
    <w:lvl w:ilvl="0">
      <w:lvlJc w:val="left"/>
      <w:lvlText w:val="%1."/>
      <w:numFmt w:val="decimal"/>
      <w:start w:val="18"/>
    </w:lvl>
  </w:abstractNum>
  <w:abstractNum w:abstractNumId="49">
    <w:nsid w:val="4427069A"/>
    <w:multiLevelType w:val="hybridMultilevel"/>
    <w:lvl w:ilvl="0">
      <w:lvlJc w:val="left"/>
      <w:lvlText w:val="%1."/>
      <w:numFmt w:val="decimal"/>
      <w:start w:val="20"/>
    </w:lvl>
    <w:lvl w:ilvl="1">
      <w:lvlJc w:val="left"/>
      <w:lvlText w:val="(%2)"/>
      <w:numFmt w:val="lowerLetter"/>
      <w:start w:val="1"/>
    </w:lvl>
  </w:abstractNum>
  <w:abstractNum w:abstractNumId="50">
    <w:nsid w:val="B37E80A"/>
    <w:multiLevelType w:val="hybridMultilevel"/>
    <w:lvl w:ilvl="0">
      <w:lvlJc w:val="left"/>
      <w:lvlText w:val="(%1)"/>
      <w:numFmt w:val="lowerLetter"/>
      <w:start w:val="4"/>
    </w:lvl>
  </w:abstractNum>
  <w:abstractNum w:abstractNumId="51">
    <w:nsid w:val="2157F6BC"/>
    <w:multiLevelType w:val="hybridMultilevel"/>
    <w:lvl w:ilvl="0">
      <w:lvlJc w:val="left"/>
      <w:lvlText w:val="%1."/>
      <w:numFmt w:val="decimal"/>
      <w:start w:val="23"/>
    </w:lvl>
  </w:abstractNum>
  <w:abstractNum w:abstractNumId="52">
    <w:nsid w:val="704E1DD5"/>
    <w:multiLevelType w:val="hybridMultilevel"/>
    <w:lvl w:ilvl="0">
      <w:lvlJc w:val="left"/>
      <w:lvlText w:val="%1."/>
      <w:numFmt w:val="decimal"/>
      <w:start w:val="1"/>
    </w:lvl>
    <w:lvl w:ilvl="1">
      <w:lvlJc w:val="left"/>
      <w:lvlText w:val="(%2)"/>
      <w:numFmt w:val="lowerRoman"/>
      <w:start w:val="7"/>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1."/>
      <w:numFmt w:val="decimal"/>
      <w:start w:val="5"/>
    </w:lvl>
  </w:abstractNum>
  <w:abstractNum w:abstractNumId="56">
    <w:nsid w:val="2E48F044"/>
    <w:multiLevelType w:val="hybridMultilevel"/>
    <w:lvl w:ilvl="0">
      <w:lvlJc w:val="left"/>
      <w:lvlText w:val="%1."/>
      <w:numFmt w:val="decimal"/>
      <w:start w:val="9"/>
    </w:lvl>
    <w:lvl w:ilvl="1">
      <w:lvlJc w:val="left"/>
      <w:lvlText w:val="%2."/>
      <w:numFmt w:val="decimal"/>
      <w:start w:val="12"/>
    </w:lvl>
  </w:abstractNum>
  <w:abstractNum w:abstractNumId="57">
    <w:nsid w:val="49D0FEAC"/>
    <w:multiLevelType w:val="hybridMultilevel"/>
    <w:lvl w:ilvl="0">
      <w:lvlJc w:val="left"/>
      <w:lvlText w:val="%1."/>
      <w:numFmt w:val="decimal"/>
      <w:start w:val="13"/>
    </w:lvl>
  </w:abstractNum>
  <w:abstractNum w:abstractNumId="58">
    <w:nsid w:val="4BEE5A5B"/>
    <w:multiLevelType w:val="hybridMultilevel"/>
    <w:lvl w:ilvl="0">
      <w:lvlJc w:val="left"/>
      <w:lvlText w:val="%1."/>
      <w:numFmt w:val="decimal"/>
      <w:start w:val="20"/>
    </w:lvl>
    <w:lvl w:ilvl="1">
      <w:lvlJc w:val="left"/>
      <w:lvlText w:val="(%2)"/>
      <w:numFmt w:val="lowerLetter"/>
      <w:start w:val="1"/>
    </w:lvl>
  </w:abstractNum>
  <w:abstractNum w:abstractNumId="59">
    <w:nsid w:val="5551B9F3"/>
    <w:multiLevelType w:val="hybridMultilevel"/>
    <w:lvl w:ilvl="0">
      <w:lvlJc w:val="left"/>
      <w:lvlText w:val="(%1)"/>
      <w:numFmt w:val="lowerLetter"/>
      <w:start w:val="5"/>
    </w:lvl>
  </w:abstractNum>
  <w:abstractNum w:abstractNumId="60">
    <w:nsid w:val="24F6AB8E"/>
    <w:multiLevelType w:val="hybridMultilevel"/>
    <w:lvl w:ilvl="0">
      <w:lvlJc w:val="left"/>
      <w:lvlText w:val="%1."/>
      <w:numFmt w:val="upperLetter"/>
      <w:start w:val="1"/>
    </w:lvl>
  </w:abstractNum>
  <w:abstractNum w:abstractNumId="61">
    <w:nsid w:val="634C574C"/>
    <w:multiLevelType w:val="hybridMultilevel"/>
    <w:lvl w:ilvl="0">
      <w:lvlJc w:val="left"/>
      <w:lvlText w:val="%1."/>
      <w:numFmt w:val="decimal"/>
      <w:start w:val="1"/>
    </w:lvl>
    <w:lvl w:ilvl="1">
      <w:lvlJc w:val="left"/>
      <w:lvlText w:val="(%2)"/>
      <w:numFmt w:val="lowerLetter"/>
      <w:start w:val="1"/>
    </w:lvl>
  </w:abstractNum>
  <w:abstractNum w:abstractNumId="62">
    <w:nsid w:val="24E99DD7"/>
    <w:multiLevelType w:val="hybridMultilevel"/>
    <w:lvl w:ilvl="0">
      <w:lvlJc w:val="left"/>
      <w:lvlText w:val="%1."/>
      <w:numFmt w:val="decimal"/>
      <w:start w:val="2"/>
    </w:lvl>
    <w:lvl w:ilvl="1">
      <w:lvlJc w:val="left"/>
      <w:lvlText w:val="(%2)"/>
      <w:numFmt w:val="lowerLetter"/>
      <w:start w:val="1"/>
    </w:lvl>
  </w:abstractNum>
  <w:abstractNum w:abstractNumId="63">
    <w:nsid w:val="2A31B62D"/>
    <w:multiLevelType w:val="hybridMultilevel"/>
    <w:lvl w:ilvl="0">
      <w:lvlJc w:val="left"/>
      <w:lvlText w:val="%1"/>
      <w:numFmt w:val="decimal"/>
      <w:start w:val="1"/>
    </w:lvl>
    <w:lvl w:ilvl="1">
      <w:lvlJc w:val="left"/>
      <w:lvlText w:val="(%2)"/>
      <w:numFmt w:val="lowerLetter"/>
      <w:start w:val="5"/>
    </w:lvl>
  </w:abstractNum>
  <w:abstractNum w:abstractNumId="64">
    <w:nsid w:val="1849C29B"/>
    <w:multiLevelType w:val="hybridMultilevel"/>
    <w:lvl w:ilvl="0">
      <w:lvlJc w:val="left"/>
      <w:lvlText w:val="%1."/>
      <w:numFmt w:val="decimal"/>
      <w:start w:val="5"/>
    </w:lvl>
    <w:lvl w:ilvl="1">
      <w:lvlJc w:val="left"/>
      <w:lvlText w:val="(%2)"/>
      <w:numFmt w:val="lowerLetter"/>
      <w:start w:val="1"/>
    </w:lvl>
  </w:abstractNum>
  <w:abstractNum w:abstractNumId="65">
    <w:nsid w:val="7DFF9D09"/>
    <w:multiLevelType w:val="hybridMultilevel"/>
    <w:lvl w:ilvl="0">
      <w:lvlJc w:val="left"/>
      <w:lvlText w:val="(%1)"/>
      <w:numFmt w:val="lowerLetter"/>
      <w:start w:val="4"/>
    </w:lvl>
  </w:abstractNum>
  <w:abstractNum w:abstractNumId="66">
    <w:nsid w:val="754342"/>
    <w:multiLevelType w:val="hybridMultilevel"/>
    <w:lvl w:ilvl="0">
      <w:lvlJc w:val="left"/>
      <w:lvlText w:val="(%1)"/>
      <w:numFmt w:val="lowerLetter"/>
      <w:start w:val="8"/>
    </w:lvl>
  </w:abstractNum>
  <w:abstractNum w:abstractNumId="67">
    <w:nsid w:val="69E7F3E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2"/>
    </w:lvl>
  </w:abstractNum>
  <w:abstractNum w:abstractNumId="68">
    <w:nsid w:val="2A6DE806"/>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69">
    <w:nsid w:val="1816F8C4"/>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70">
    <w:nsid w:val="37DF2233"/>
    <w:multiLevelType w:val="hybridMultilevel"/>
    <w:lvl w:ilvl="0">
      <w:lvlJc w:val="left"/>
      <w:lvlText w:val="(%1)"/>
      <w:numFmt w:val="lowerLetter"/>
      <w:start w:val="4"/>
    </w:lvl>
    <w:lvl w:ilvl="1">
      <w:lvlJc w:val="left"/>
      <w:lvlText w:val="(%2)"/>
      <w:numFmt w:val="lowerRoman"/>
      <w:start w:val="1"/>
    </w:lvl>
  </w:abstractNum>
  <w:abstractNum w:abstractNumId="71">
    <w:nsid w:val="7AB49DA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2">
    <w:nsid w:val="759F82C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3">
    <w:nsid w:val="61E74EA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74">
    <w:nsid w:val="597B4D84"/>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75">
    <w:nsid w:val="F819E7F"/>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76">
    <w:nsid w:val="57C7D42D"/>
    <w:multiLevelType w:val="hybridMultilevel"/>
    <w:lvl w:ilvl="0">
      <w:lvlJc w:val="left"/>
      <w:lvlText w:val="(%1)"/>
      <w:numFmt w:val="lowerRoman"/>
      <w:start w:val="4"/>
    </w:lvl>
  </w:abstractNum>
  <w:abstractNum w:abstractNumId="77">
    <w:nsid w:val="312167AD"/>
    <w:multiLevelType w:val="hybridMultilevel"/>
    <w:lvl w:ilvl="0">
      <w:lvlJc w:val="left"/>
      <w:lvlText w:val="(%1)"/>
      <w:numFmt w:val="decimal"/>
      <w:start w:val="2"/>
    </w:lvl>
  </w:abstractNum>
  <w:abstractNum w:abstractNumId="78">
    <w:nsid w:val="631B64D4"/>
    <w:multiLevelType w:val="hybridMultilevel"/>
    <w:lvl w:ilvl="0">
      <w:lvlJc w:val="left"/>
      <w:lvlText w:val="(%1)"/>
      <w:numFmt w:val="lowerLetter"/>
      <w:start w:val="2"/>
    </w:lvl>
  </w:abstractNum>
  <w:abstractNum w:abstractNumId="79">
    <w:nsid w:val="78B5E776"/>
    <w:multiLevelType w:val="hybridMultilevel"/>
    <w:lvl w:ilvl="0">
      <w:lvlJc w:val="left"/>
      <w:lvlText w:val="%1"/>
      <w:numFmt w:val="lowerLetter"/>
      <w:start w:val="1"/>
    </w:lvl>
    <w:lvl w:ilvl="1">
      <w:lvlJc w:val="left"/>
      <w:lvlText w:val="(%2)"/>
      <w:numFmt w:val="lowerRoman"/>
      <w:start w:val="1"/>
    </w:lvl>
  </w:abstractNum>
  <w:abstractNum w:abstractNumId="80">
    <w:nsid w:val="75486E47"/>
    <w:multiLevelType w:val="hybridMultilevel"/>
    <w:lvl w:ilvl="0">
      <w:lvlJc w:val="left"/>
      <w:lvlText w:val="(%1)"/>
      <w:numFmt w:val="lowerLetter"/>
      <w:start w:val="4"/>
    </w:lvl>
    <w:lvl w:ilvl="1">
      <w:lvlJc w:val="left"/>
      <w:lvlText w:val="(%2)"/>
      <w:numFmt w:val="lowerRoman"/>
      <w:start w:val="1"/>
    </w:lvl>
  </w:abstractNum>
  <w:abstractNum w:abstractNumId="81">
    <w:nsid w:val="6E534CDE"/>
    <w:multiLevelType w:val="hybridMultilevel"/>
    <w:lvl w:ilvl="0">
      <w:lvlJc w:val="left"/>
      <w:lvlText w:val="(%1)"/>
      <w:numFmt w:val="lowerRoman"/>
      <w:start w:val="2"/>
    </w:lvl>
  </w:abstractNum>
  <w:abstractNum w:abstractNumId="82">
    <w:nsid w:val="1A0DDE32"/>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83">
    <w:nsid w:val="65968C1C"/>
    <w:multiLevelType w:val="hybridMultilevel"/>
    <w:lvl w:ilvl="0">
      <w:lvlJc w:val="left"/>
      <w:lvlText w:val="(%1)"/>
      <w:numFmt w:val="lowerRoman"/>
      <w:start w:val="2"/>
    </w:lvl>
    <w:lvl w:ilvl="1">
      <w:lvlJc w:val="left"/>
      <w:lvlText w:val="(%2)"/>
      <w:numFmt w:val="decimal"/>
      <w:start w:val="1"/>
    </w:lvl>
  </w:abstractNum>
  <w:abstractNum w:abstractNumId="84">
    <w:nsid w:val="46263DEC"/>
    <w:multiLevelType w:val="hybridMultilevel"/>
    <w:lvl w:ilvl="0">
      <w:lvlJc w:val="left"/>
      <w:lvlText w:val="%1"/>
      <w:numFmt w:val="lowerRoman"/>
      <w:start w:val="1"/>
    </w:lvl>
    <w:lvl w:ilvl="1">
      <w:lvlJc w:val="left"/>
      <w:lvlText w:val="(%2)"/>
      <w:numFmt w:val="decimal"/>
      <w:start w:val="3"/>
    </w:lvl>
  </w:abstractNum>
  <w:abstractNum w:abstractNumId="85">
    <w:nsid w:val="260D8C4A"/>
    <w:multiLevelType w:val="hybridMultilevel"/>
    <w:lvl w:ilvl="0">
      <w:lvlJc w:val="left"/>
      <w:lvlText w:val="(%1)"/>
      <w:numFmt w:val="lowerRoman"/>
      <w:start w:val="3"/>
    </w:lvl>
    <w:lvl w:ilvl="1">
      <w:lvlJc w:val="left"/>
      <w:lvlText w:val="%2"/>
      <w:numFmt w:val="decimal"/>
      <w:start w:val="1"/>
    </w:lvl>
  </w:abstractNum>
  <w:abstractNum w:abstractNumId="86">
    <w:nsid w:val="73D4D3C4"/>
    <w:multiLevelType w:val="hybridMultilevel"/>
    <w:lvl w:ilvl="0">
      <w:lvlJc w:val="left"/>
      <w:lvlText w:val="(%1)"/>
      <w:numFmt w:val="lowerRoman"/>
      <w:start w:val="4"/>
    </w:lvl>
    <w:lvl w:ilvl="1">
      <w:lvlJc w:val="left"/>
      <w:lvlText w:val="(%2)"/>
      <w:numFmt w:val="lowerRoman"/>
      <w:start w:val="4"/>
    </w:lvl>
  </w:abstractNum>
  <w:abstractNum w:abstractNumId="87">
    <w:nsid w:val="746F2E30"/>
    <w:multiLevelType w:val="hybridMultilevel"/>
    <w:lvl w:ilvl="0">
      <w:lvlJc w:val="left"/>
      <w:lvlText w:val="(%1)"/>
      <w:numFmt w:val="lowerRoman"/>
      <w:start w:val="1"/>
    </w:lvl>
    <w:lvl w:ilvl="1">
      <w:lvlJc w:val="left"/>
      <w:lvlText w:val="%2"/>
      <w:numFmt w:val="lowerRoman"/>
      <w:start w:val="1"/>
    </w:lvl>
  </w:abstractNum>
  <w:abstractNum w:abstractNumId="88">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89">
    <w:nsid w:val="3FC32E2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
    <w:nsid w:val="49C0E8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91">
    <w:nsid w:val="14D5368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92">
    <w:nsid w:val="230F856C"/>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93">
    <w:nsid w:val="6EAA85F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4">
    <w:nsid w:val="3F06ECB2"/>
    <w:multiLevelType w:val="hybridMultilevel"/>
    <w:lvl w:ilvl="0">
      <w:lvlJc w:val="left"/>
      <w:lvlText w:val="%1"/>
      <w:numFmt w:val="lowerLetter"/>
      <w:start w:val="1"/>
    </w:lvl>
    <w:lvl w:ilvl="1">
      <w:lvlJc w:val="left"/>
      <w:lvlText w:val="(%2)"/>
      <w:numFmt w:val="lowerLetter"/>
      <w:start w:val="4"/>
    </w:lvl>
  </w:abstractNum>
  <w:abstractNum w:abstractNumId="95">
    <w:nsid w:val="3B594807"/>
    <w:multiLevelType w:val="hybridMultilevel"/>
    <w:lvl w:ilvl="0">
      <w:lvlJc w:val="left"/>
      <w:lvlText w:val="(%1)"/>
      <w:numFmt w:val="lowerLetter"/>
      <w:start w:val="35"/>
    </w:lvl>
    <w:lvl w:ilvl="1">
      <w:lvlJc w:val="left"/>
      <w:lvlText w:val="%2"/>
      <w:numFmt w:val="lowerLetter"/>
      <w:start w:val="1"/>
    </w:lvl>
  </w:abstractNum>
  <w:abstractNum w:abstractNumId="96">
    <w:nsid w:val="6CAA2304"/>
    <w:multiLevelType w:val="hybridMultilevel"/>
    <w:lvl w:ilvl="0">
      <w:lvlJc w:val="left"/>
      <w:lvlText w:val="%1."/>
      <w:numFmt w:val="decimal"/>
      <w:start w:val="11"/>
    </w:lvl>
  </w:abstractNum>
  <w:abstractNum w:abstractNumId="97">
    <w:nsid w:val="3F7C2FF4"/>
    <w:multiLevelType w:val="hybridMultilevel"/>
    <w:lvl w:ilvl="0">
      <w:lvlJc w:val="left"/>
      <w:lvlText w:val="%1."/>
      <w:numFmt w:val="decimal"/>
      <w:start w:val="15"/>
    </w:lvl>
  </w:abstractNum>
  <w:abstractNum w:abstractNumId="98">
    <w:nsid w:val="25413BEC"/>
    <w:multiLevelType w:val="hybridMultilevel"/>
    <w:lvl w:ilvl="0">
      <w:lvlJc w:val="left"/>
      <w:lvlText w:val="%1."/>
      <w:numFmt w:val="decimal"/>
      <w:start w:val="18"/>
    </w:lvl>
  </w:abstractNum>
  <w:abstractNum w:abstractNumId="99">
    <w:nsid w:val="17180B0B"/>
    <w:multiLevelType w:val="hybridMultilevel"/>
    <w:lvl w:ilvl="0">
      <w:lvlJc w:val="left"/>
      <w:lvlText w:val="%1."/>
      <w:numFmt w:val="decimal"/>
      <w:start w:val="20"/>
    </w:lvl>
    <w:lvl w:ilvl="1">
      <w:lvlJc w:val="left"/>
      <w:lvlText w:val="(%2)"/>
      <w:numFmt w:val="lowerLetter"/>
      <w:start w:val="1"/>
    </w:lvl>
  </w:abstractNum>
  <w:abstractNum w:abstractNumId="100">
    <w:nsid w:val="579328B9"/>
    <w:multiLevelType w:val="hybridMultilevel"/>
    <w:lvl w:ilvl="0">
      <w:lvlJc w:val="left"/>
      <w:lvlText w:val="(%1)"/>
      <w:numFmt w:val="lowerLetter"/>
      <w:start w:val="3"/>
    </w:lvl>
  </w:abstractNum>
  <w:abstractNum w:abstractNumId="101">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02">
    <w:nsid w:val="11CCA8BA"/>
    <w:multiLevelType w:val="hybridMultilevel"/>
    <w:lvl w:ilvl="0">
      <w:lvlJc w:val="left"/>
      <w:lvlText w:val="(%1)"/>
      <w:numFmt w:val="lowerLetter"/>
      <w:start w:val="35"/>
    </w:lvl>
    <w:lvl w:ilvl="1">
      <w:lvlJc w:val="left"/>
      <w:lvlText w:val="%2."/>
      <w:numFmt w:val="decimal"/>
      <w:start w:val="23"/>
    </w:lvl>
    <w:lvl w:ilvl="2">
      <w:lvlJc w:val="left"/>
      <w:lvlText w:val="%3"/>
      <w:numFmt w:val="lowerLetter"/>
      <w:start w:val="1"/>
    </w:lvl>
  </w:abstractNum>
  <w:abstractNum w:abstractNumId="103">
    <w:nsid w:val="4D32AB86"/>
    <w:multiLevelType w:val="hybridMultilevel"/>
    <w:lvl w:ilvl="0">
      <w:lvlJc w:val="left"/>
      <w:lvlText w:val="%1."/>
      <w:numFmt w:val="decimal"/>
      <w:start w:val="1"/>
    </w:lvl>
    <w:lvl w:ilvl="1">
      <w:lvlJc w:val="left"/>
      <w:lvlText w:val="(%2)"/>
      <w:numFmt w:val="lowerRoman"/>
      <w:start w:val="7"/>
    </w:lvl>
    <w:lvl w:ilvl="2">
      <w:lvlJc w:val="left"/>
      <w:lvlText w:val="•"/>
      <w:numFmt w:val="bullet"/>
      <w:start w:val="1"/>
    </w:lvl>
  </w:abstractNum>
  <w:abstractNum w:abstractNumId="104">
    <w:nsid w:val="3F07ACC3"/>
    <w:multiLevelType w:val="hybridMultilevel"/>
    <w:lvl w:ilvl="0">
      <w:lvlJc w:val="left"/>
      <w:lvlText w:val="•"/>
      <w:numFmt w:val="bullet"/>
      <w:start w:val="1"/>
    </w:lvl>
  </w:abstractNum>
  <w:abstractNum w:abstractNumId="105">
    <w:nsid w:val="6B47F63E"/>
    <w:multiLevelType w:val="hybridMultilevel"/>
    <w:lvl w:ilvl="0">
      <w:lvlJc w:val="left"/>
      <w:lvlText w:val="%1."/>
      <w:numFmt w:val="decimal"/>
      <w:start w:val="5"/>
    </w:lvl>
  </w:abstractNum>
  <w:abstractNum w:abstractNumId="106">
    <w:nsid w:val="5CB44A05"/>
    <w:multiLevelType w:val="hybridMultilevel"/>
    <w:lvl w:ilvl="0">
      <w:lvlJc w:val="left"/>
      <w:lvlText w:val="%1."/>
      <w:numFmt w:val="decimal"/>
      <w:start w:val="7"/>
    </w:lvl>
  </w:abstractNum>
  <w:abstractNum w:abstractNumId="107">
    <w:nsid w:val="16CF80F1"/>
    <w:multiLevelType w:val="hybridMultilevel"/>
    <w:lvl w:ilvl="0">
      <w:lvlJc w:val="left"/>
      <w:lvlText w:val="%1."/>
      <w:numFmt w:val="decimal"/>
      <w:start w:val="11"/>
    </w:lvl>
  </w:abstractNum>
  <w:abstractNum w:abstractNumId="108">
    <w:nsid w:val="1C695DEC"/>
    <w:multiLevelType w:val="hybridMultilevel"/>
    <w:lvl w:ilvl="0">
      <w:lvlJc w:val="left"/>
      <w:lvlText w:val="%1."/>
      <w:numFmt w:val="decimal"/>
      <w:start w:val="16"/>
    </w:lvl>
  </w:abstractNum>
  <w:abstractNum w:abstractNumId="109">
    <w:nsid w:val="3FCFAED9"/>
    <w:multiLevelType w:val="hybridMultilevel"/>
    <w:lvl w:ilvl="0">
      <w:lvlJc w:val="left"/>
      <w:lvlText w:val="%1."/>
      <w:numFmt w:val="decimal"/>
      <w:start w:val="22"/>
    </w:lvl>
    <w:lvl w:ilvl="1">
      <w:lvlJc w:val="left"/>
      <w:lvlText w:val="(%2)"/>
      <w:numFmt w:val="lowerLetter"/>
      <w:start w:val="1"/>
    </w:lvl>
  </w:abstractNum>
  <w:abstractNum w:abstractNumId="110">
    <w:nsid w:val="F856867"/>
    <w:multiLevelType w:val="hybridMultilevel"/>
    <w:lvl w:ilvl="0">
      <w:lvlJc w:val="left"/>
      <w:lvlText w:val="(%1)"/>
      <w:numFmt w:val="lowerLetter"/>
      <w:start w:val="5"/>
    </w:lvl>
  </w:abstractNum>
  <w:abstractNum w:abstractNumId="111">
    <w:nsid w:val="11B1CC33"/>
    <w:multiLevelType w:val="hybridMultilevel"/>
    <w:lvl w:ilvl="0">
      <w:lvlJc w:val="left"/>
      <w:lvlText w:val="%1."/>
      <w:numFmt w:val="upperLetter"/>
      <w:start w:val="1"/>
    </w:lvl>
  </w:abstractNum>
  <w:abstractNum w:abstractNumId="112">
    <w:nsid w:val="2E22FBB7"/>
    <w:multiLevelType w:val="hybridMultilevel"/>
    <w:lvl w:ilvl="0">
      <w:lvlJc w:val="left"/>
      <w:lvlText w:val="%1."/>
      <w:numFmt w:val="decimal"/>
      <w:start w:val="1"/>
    </w:lvl>
    <w:lvl w:ilvl="1">
      <w:lvlJc w:val="left"/>
      <w:lvlText w:val="(%2)"/>
      <w:numFmt w:val="lowerLetter"/>
      <w:start w:val="1"/>
    </w:lvl>
  </w:abstractNum>
  <w:abstractNum w:abstractNumId="113">
    <w:nsid w:val="29934699"/>
    <w:multiLevelType w:val="hybridMultilevel"/>
    <w:lvl w:ilvl="0">
      <w:lvlJc w:val="left"/>
      <w:lvlText w:val="%1."/>
      <w:numFmt w:val="decimal"/>
      <w:start w:val="2"/>
    </w:lvl>
    <w:lvl w:ilvl="1">
      <w:lvlJc w:val="left"/>
      <w:lvlText w:val="(%2)"/>
      <w:numFmt w:val="lowerLetter"/>
      <w:start w:val="1"/>
    </w:lvl>
  </w:abstractNum>
  <w:abstractNum w:abstractNumId="114">
    <w:nsid w:val="77485850"/>
    <w:multiLevelType w:val="hybridMultilevel"/>
    <w:lvl w:ilvl="0">
      <w:lvlJc w:val="left"/>
      <w:lvlText w:val="%1"/>
      <w:numFmt w:val="decimal"/>
      <w:start w:val="1"/>
    </w:lvl>
    <w:lvl w:ilvl="1">
      <w:lvlJc w:val="left"/>
      <w:lvlText w:val="(%2)"/>
      <w:numFmt w:val="lowerLetter"/>
      <w:start w:val="5"/>
    </w:lvl>
  </w:abstractNum>
  <w:abstractNum w:abstractNumId="115">
    <w:nsid w:val="744939A3"/>
    <w:multiLevelType w:val="hybridMultilevel"/>
    <w:lvl w:ilvl="0">
      <w:lvlJc w:val="left"/>
      <w:lvlText w:val="%1."/>
      <w:numFmt w:val="decimal"/>
      <w:start w:val="5"/>
    </w:lvl>
    <w:lvl w:ilvl="1">
      <w:lvlJc w:val="left"/>
      <w:lvlText w:val="(%2)"/>
      <w:numFmt w:val="lowerLetter"/>
      <w:start w:val="1"/>
    </w:lvl>
  </w:abstractNum>
  <w:abstractNum w:abstractNumId="116">
    <w:nsid w:val="4FA0D2E3"/>
    <w:multiLevelType w:val="hybridMultilevel"/>
    <w:lvl w:ilvl="0">
      <w:lvlJc w:val="left"/>
      <w:lvlText w:val="(%1)"/>
      <w:numFmt w:val="lowerLetter"/>
      <w:start w:val="4"/>
    </w:lvl>
  </w:abstractNum>
  <w:abstractNum w:abstractNumId="117">
    <w:nsid w:val="6B1D2C14"/>
    <w:multiLevelType w:val="hybridMultilevel"/>
    <w:lvl w:ilvl="0">
      <w:lvlJc w:val="left"/>
      <w:lvlText w:val="(%1)"/>
      <w:numFmt w:val="lowerLetter"/>
      <w:start w:val="8"/>
    </w:lvl>
  </w:abstractNum>
  <w:abstractNum w:abstractNumId="118">
    <w:nsid w:val="68B867D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2"/>
    </w:lvl>
  </w:abstractNum>
  <w:abstractNum w:abstractNumId="119">
    <w:nsid w:val="3F7F5DD9"/>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20">
    <w:nsid w:val="2AE05A34"/>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121">
    <w:nsid w:val="32794FF7"/>
    <w:multiLevelType w:val="hybridMultilevel"/>
    <w:lvl w:ilvl="0">
      <w:lvlJc w:val="left"/>
      <w:lvlText w:val="(%1)"/>
      <w:numFmt w:val="lowerLetter"/>
      <w:start w:val="4"/>
    </w:lvl>
    <w:lvl w:ilvl="1">
      <w:lvlJc w:val="left"/>
      <w:lvlText w:val="(%2)"/>
      <w:numFmt w:val="lowerRoman"/>
      <w:start w:val="1"/>
    </w:lvl>
  </w:abstractNum>
  <w:abstractNum w:abstractNumId="122">
    <w:nsid w:val="5454945E"/>
    <w:multiLevelType w:val="hybridMultilevel"/>
    <w:lvl w:ilvl="0">
      <w:lvlJc w:val="left"/>
      <w:lvlText w:val="%1"/>
      <w:numFmt w:val="decimal"/>
      <w:start w:val="1"/>
    </w:lvl>
    <w:lvl w:ilvl="1">
      <w:lvlJc w:val="left"/>
      <w:lvlText w:val="(%2)"/>
      <w:numFmt w:val="lowerLetter"/>
      <w:start w:val="6"/>
    </w:lvl>
  </w:abstractNum>
  <w:abstractNum w:abstractNumId="123">
    <w:nsid w:val="4DEFDFA0"/>
    <w:multiLevelType w:val="hybridMultilevel"/>
    <w:lvl w:ilvl="0">
      <w:lvlJc w:val="left"/>
      <w:lvlText w:val="%1."/>
      <w:numFmt w:val="decimal"/>
      <w:start w:val="7"/>
    </w:lvl>
    <w:lvl w:ilvl="1">
      <w:lvlJc w:val="left"/>
      <w:lvlText w:val="(%2)"/>
      <w:numFmt w:val="lowerLetter"/>
      <w:start w:val="1"/>
    </w:lvl>
  </w:abstractNum>
  <w:abstractNum w:abstractNumId="124">
    <w:nsid w:val="2123D5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5">
    <w:nsid w:val="135B811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6">
    <w:nsid w:val="94927A8"/>
    <w:multiLevelType w:val="hybridMultilevel"/>
    <w:lvl w:ilvl="0">
      <w:lvlJc w:val="left"/>
      <w:lvlText w:val="%1"/>
      <w:numFmt w:val="lowerRoman"/>
      <w:start w:val="1"/>
    </w:lvl>
    <w:lvl w:ilvl="1">
      <w:lvlJc w:val="left"/>
      <w:lvlText w:val="(%2)"/>
      <w:numFmt w:val="lowerRoman"/>
      <w:start w:val="2"/>
    </w:lvl>
  </w:abstractNum>
  <w:abstractNum w:abstractNumId="127">
    <w:nsid w:val="DCDF8F6"/>
    <w:multiLevelType w:val="hybridMultilevel"/>
    <w:lvl w:ilvl="0">
      <w:lvlJc w:val="left"/>
      <w:lvlText w:val="(%1)"/>
      <w:numFmt w:val="lowerRoman"/>
      <w:start w:val="2"/>
    </w:lvl>
    <w:lvl w:ilvl="1">
      <w:lvlJc w:val="left"/>
      <w:lvlText w:val="(%2)"/>
      <w:numFmt w:val="lowerRoman"/>
      <w:start w:val="3"/>
    </w:lvl>
  </w:abstractNum>
  <w:abstractNum w:abstractNumId="128">
    <w:nsid w:val="52D7B105"/>
    <w:multiLevelType w:val="hybridMultilevel"/>
    <w:lvl w:ilvl="0">
      <w:lvlJc w:val="left"/>
      <w:lvlText w:val="(%1)"/>
      <w:numFmt w:val="lowerRoman"/>
      <w:start w:val="6"/>
    </w:lvl>
  </w:abstractNum>
  <w:abstractNum w:abstractNumId="129">
    <w:nsid w:val="2E8A6394"/>
    <w:multiLevelType w:val="hybridMultilevel"/>
    <w:lvl w:ilvl="0">
      <w:lvlJc w:val="left"/>
      <w:lvlText w:val="(%1)"/>
      <w:numFmt w:val="lowerLetter"/>
      <w:start w:val="2"/>
    </w:lvl>
  </w:abstractNum>
  <w:abstractNum w:abstractNumId="130">
    <w:nsid w:val="24E60401"/>
    <w:multiLevelType w:val="hybridMultilevel"/>
    <w:lvl w:ilvl="0">
      <w:lvlJc w:val="left"/>
      <w:lvlText w:val="(%1)"/>
      <w:numFmt w:val="lowerLetter"/>
      <w:start w:val="3"/>
    </w:lvl>
    <w:lvl w:ilvl="1">
      <w:lvlJc w:val="left"/>
      <w:lvlText w:val="(%2)"/>
      <w:numFmt w:val="lowerRoman"/>
      <w:start w:val="1"/>
    </w:lvl>
  </w:abstractNum>
  <w:abstractNum w:abstractNumId="131">
    <w:nsid w:val="2A6AD9BE"/>
    <w:multiLevelType w:val="hybridMultilevel"/>
    <w:lvl w:ilvl="0">
      <w:lvlJc w:val="left"/>
      <w:lvlText w:val="(%1)"/>
      <w:numFmt w:val="lowerLetter"/>
      <w:start w:val="4"/>
    </w:lvl>
    <w:lvl w:ilvl="1">
      <w:lvlJc w:val="left"/>
      <w:lvlText w:val="(%2)"/>
      <w:numFmt w:val="lowerRoman"/>
      <w:start w:val="1"/>
    </w:lvl>
  </w:abstractNum>
  <w:abstractNum w:abstractNumId="132">
    <w:nsid w:val="BAAC1B4"/>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33">
    <w:nsid w:val="36B2ACBC"/>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34">
    <w:nsid w:val="779D854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35">
    <w:nsid w:val="4AB26E78"/>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36">
    <w:nsid w:val="21FAA2FA"/>
    <w:multiLevelType w:val="hybridMultilevel"/>
    <w:lvl w:ilvl="0">
      <w:lvlJc w:val="left"/>
      <w:lvlText w:val="%1"/>
      <w:numFmt w:val="lowerRoman"/>
      <w:start w:val="1"/>
    </w:lvl>
    <w:lvl w:ilvl="1">
      <w:lvlJc w:val="left"/>
      <w:lvlText w:val="(%2)"/>
      <w:numFmt w:val="decimal"/>
      <w:start w:val="2"/>
    </w:lvl>
  </w:abstractNum>
  <w:abstractNum w:abstractNumId="137">
    <w:nsid w:val="5451CF49"/>
    <w:multiLevelType w:val="hybridMultilevel"/>
    <w:lvl w:ilvl="0">
      <w:lvlJc w:val="left"/>
      <w:lvlText w:val="(%1)"/>
      <w:numFmt w:val="lowerRoman"/>
      <w:start w:val="3"/>
    </w:lvl>
    <w:lvl w:ilvl="1">
      <w:lvlJc w:val="left"/>
      <w:lvlText w:val="%2"/>
      <w:numFmt w:val="decimal"/>
      <w:start w:val="1"/>
    </w:lvl>
  </w:abstractNum>
  <w:abstractNum w:abstractNumId="138">
    <w:nsid w:val="6181EF69"/>
    <w:multiLevelType w:val="hybridMultilevel"/>
    <w:lvl w:ilvl="0">
      <w:lvlJc w:val="left"/>
      <w:lvlText w:val="(%1)"/>
      <w:numFmt w:val="lowerRoman"/>
      <w:start w:val="4"/>
    </w:lvl>
  </w:abstractNum>
  <w:abstractNum w:abstractNumId="139">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40">
    <w:nsid w:val="14217E2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1">
    <w:nsid w:val="710757D0"/>
    <w:multiLevelType w:val="hybridMultilevel"/>
    <w:lvl w:ilvl="0">
      <w:lvlJc w:val="left"/>
      <w:lvlText w:val="(%1)"/>
      <w:numFmt w:val="lowerLetter"/>
      <w:start w:val="2"/>
    </w:lvl>
  </w:abstractNum>
  <w:abstractNum w:abstractNumId="142">
    <w:nsid w:val="5015CD1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3">
    <w:nsid w:val="424479DA"/>
    <w:multiLevelType w:val="hybridMultilevel"/>
    <w:lvl w:ilvl="0">
      <w:lvlJc w:val="left"/>
      <w:lvlText w:val="%1"/>
      <w:numFmt w:val="lowerLetter"/>
      <w:start w:val="1"/>
    </w:lvl>
    <w:lvl w:ilvl="1">
      <w:lvlJc w:val="left"/>
      <w:lvlText w:val="(%2)"/>
      <w:numFmt w:val="lowerLetter"/>
      <w:start w:val="4"/>
    </w:lvl>
  </w:abstractNum>
  <w:abstractNum w:abstractNumId="144">
    <w:nsid w:val="1A9A9E69"/>
    <w:multiLevelType w:val="hybridMultilevel"/>
    <w:lvl w:ilvl="0">
      <w:lvlJc w:val="left"/>
      <w:lvlText w:val="(%1)"/>
      <w:numFmt w:val="lowerLetter"/>
      <w:start w:val="35"/>
    </w:lvl>
    <w:lvl w:ilvl="1">
      <w:lvlJc w:val="left"/>
      <w:lvlText w:val="%2"/>
      <w:numFmt w:val="lowerLetter"/>
      <w:start w:val="1"/>
    </w:lvl>
  </w:abstractNum>
  <w:abstractNum w:abstractNumId="145">
    <w:nsid w:val="475E256A"/>
    <w:multiLevelType w:val="hybridMultilevel"/>
    <w:lvl w:ilvl="0">
      <w:lvlJc w:val="left"/>
      <w:lvlText w:val="%1."/>
      <w:numFmt w:val="decimal"/>
      <w:start w:val="11"/>
    </w:lvl>
  </w:abstractNum>
  <w:abstractNum w:abstractNumId="146">
    <w:nsid w:val="368DB37E"/>
    <w:multiLevelType w:val="hybridMultilevel"/>
    <w:lvl w:ilvl="0">
      <w:lvlJc w:val="left"/>
      <w:lvlText w:val="%1."/>
      <w:numFmt w:val="decimal"/>
      <w:start w:val="15"/>
    </w:lvl>
  </w:abstractNum>
  <w:abstractNum w:abstractNumId="147">
    <w:nsid w:val="6A3B714C"/>
    <w:multiLevelType w:val="hybridMultilevel"/>
    <w:lvl w:ilvl="0">
      <w:lvlJc w:val="left"/>
      <w:lvlText w:val="%1."/>
      <w:numFmt w:val="decimal"/>
      <w:start w:val="16"/>
    </w:lvl>
  </w:abstractNum>
  <w:abstractNum w:abstractNumId="148">
    <w:nsid w:val="327B517E"/>
    <w:multiLevelType w:val="hybridMultilevel"/>
    <w:lvl w:ilvl="0">
      <w:lvlJc w:val="left"/>
      <w:lvlText w:val="%1."/>
      <w:numFmt w:val="decimal"/>
      <w:start w:val="18"/>
    </w:lvl>
  </w:abstractNum>
  <w:abstractNum w:abstractNumId="149">
    <w:nsid w:val="1F461B51"/>
    <w:multiLevelType w:val="hybridMultilevel"/>
    <w:lvl w:ilvl="0">
      <w:lvlJc w:val="left"/>
      <w:lvlText w:val="%1."/>
      <w:numFmt w:val="decimal"/>
      <w:start w:val="20"/>
    </w:lvl>
    <w:lvl w:ilvl="1">
      <w:lvlJc w:val="left"/>
      <w:lvlText w:val="(%2)"/>
      <w:numFmt w:val="lowerLetter"/>
      <w:start w:val="1"/>
    </w:lvl>
  </w:abstractNum>
  <w:abstractNum w:abstractNumId="150">
    <w:nsid w:val="29BACF25"/>
    <w:multiLevelType w:val="hybridMultilevel"/>
    <w:lvl w:ilvl="0">
      <w:lvlJc w:val="left"/>
      <w:lvlText w:val="(%1)"/>
      <w:numFmt w:val="lowerLetter"/>
      <w:start w:val="3"/>
    </w:lvl>
  </w:abstractNum>
  <w:abstractNum w:abstractNumId="151">
    <w:nsid w:val="5D5BAB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52">
    <w:nsid w:val="51BF6B48"/>
    <w:multiLevelType w:val="hybridMultilevel"/>
    <w:lvl w:ilvl="0">
      <w:lvlJc w:val="left"/>
      <w:lvlText w:val="(%1)"/>
      <w:numFmt w:val="lowerLetter"/>
      <w:start w:val="35"/>
    </w:lvl>
    <w:lvl w:ilvl="1">
      <w:lvlJc w:val="left"/>
      <w:lvlText w:val="%2."/>
      <w:numFmt w:val="decimal"/>
      <w:start w:val="23"/>
    </w:lvl>
    <w:lvl w:ilvl="2">
      <w:lvlJc w:val="left"/>
      <w:lvlText w:val="%3"/>
      <w:numFmt w:val="lowerLetter"/>
      <w:start w:val="1"/>
    </w:lvl>
  </w:abstractNum>
  <w:abstractNum w:abstractNumId="153">
    <w:nsid w:val="7E0F6384"/>
    <w:multiLevelType w:val="hybridMultilevel"/>
    <w:lvl w:ilvl="0">
      <w:lvlJc w:val="left"/>
      <w:lvlText w:val="%1."/>
      <w:numFmt w:val="decimal"/>
      <w:start w:val="1"/>
    </w:lvl>
    <w:lvl w:ilvl="1">
      <w:lvlJc w:val="left"/>
      <w:lvlText w:val="(%2)"/>
      <w:numFmt w:val="lowerRoman"/>
      <w:start w:val="7"/>
    </w:lvl>
  </w:abstractNum>
  <w:abstractNum w:abstractNumId="154">
    <w:nsid w:val="2B4B8B53"/>
    <w:multiLevelType w:val="hybridMultilevel"/>
    <w:lvl w:ilvl="0">
      <w:lvlJc w:val="left"/>
      <w:lvlText w:val="•"/>
      <w:numFmt w:val="bullet"/>
      <w:start w:val="1"/>
    </w:lvl>
  </w:abstractNum>
  <w:abstractNum w:abstractNumId="155">
    <w:nsid w:val="72E3413A"/>
    <w:multiLevelType w:val="hybridMultilevel"/>
    <w:lvl w:ilvl="0">
      <w:lvlJc w:val="left"/>
      <w:lvlText w:val="•"/>
      <w:numFmt w:val="bullet"/>
      <w:start w:val="1"/>
    </w:lvl>
  </w:abstractNum>
  <w:abstractNum w:abstractNumId="156">
    <w:nsid w:val="116AE494"/>
    <w:multiLevelType w:val="hybridMultilevel"/>
    <w:lvl w:ilvl="0">
      <w:lvlJc w:val="left"/>
      <w:lvlText w:val="%1."/>
      <w:numFmt w:val="decimal"/>
      <w:start w:val="5"/>
    </w:lvl>
  </w:abstractNum>
  <w:abstractNum w:abstractNumId="157">
    <w:nsid w:val="3494B2FB"/>
    <w:multiLevelType w:val="hybridMultilevel"/>
    <w:lvl w:ilvl="0">
      <w:lvlJc w:val="left"/>
      <w:lvlText w:val="%1."/>
      <w:numFmt w:val="decimal"/>
      <w:start w:val="9"/>
    </w:lvl>
  </w:abstractNum>
  <w:abstractNum w:abstractNumId="158">
    <w:nsid w:val="B13A31"/>
    <w:multiLevelType w:val="hybridMultilevel"/>
    <w:lvl w:ilvl="0">
      <w:lvlJc w:val="left"/>
      <w:lvlText w:val="%1."/>
      <w:numFmt w:val="decimal"/>
      <w:start w:val="13"/>
    </w:lvl>
  </w:abstractNum>
  <w:abstractNum w:abstractNumId="159">
    <w:nsid w:val="64429599"/>
    <w:multiLevelType w:val="hybridMultilevel"/>
    <w:lvl w:ilvl="0">
      <w:lvlJc w:val="left"/>
      <w:lvlText w:val="%1."/>
      <w:numFmt w:val="decimal"/>
      <w:start w:val="20"/>
    </w:lvl>
    <w:lvl w:ilvl="1">
      <w:lvlJc w:val="left"/>
      <w:lvlText w:val="(%2)"/>
      <w:numFmt w:val="lowerLetter"/>
      <w:start w:val="1"/>
    </w:lvl>
  </w:abstractNum>
  <w:abstractNum w:abstractNumId="160">
    <w:nsid w:val="631F1690"/>
    <w:multiLevelType w:val="hybridMultilevel"/>
    <w:lvl w:ilvl="0">
      <w:lvlJc w:val="left"/>
      <w:lvlText w:val="(%1)"/>
      <w:numFmt w:val="lowerLetter"/>
      <w:start w:val="5"/>
    </w:lvl>
  </w:abstractNum>
  <w:abstractNum w:abstractNumId="161">
    <w:nsid w:val="25973E32"/>
    <w:multiLevelType w:val="hybridMultilevel"/>
    <w:lvl w:ilvl="0">
      <w:lvlJc w:val="left"/>
      <w:lvlText w:val="%1."/>
      <w:numFmt w:val="upperLetter"/>
      <w:start w:val="1"/>
    </w:lvl>
  </w:abstractNum>
  <w:abstractNum w:abstractNumId="162">
    <w:nsid w:val="EAD6F57"/>
    <w:multiLevelType w:val="hybridMultilevel"/>
    <w:lvl w:ilvl="0">
      <w:lvlJc w:val="left"/>
      <w:lvlText w:val="%1."/>
      <w:numFmt w:val="decimal"/>
      <w:start w:val="1"/>
    </w:lvl>
    <w:lvl w:ilvl="1">
      <w:lvlJc w:val="left"/>
      <w:lvlText w:val="(%2)"/>
      <w:numFmt w:val="lowerLetter"/>
      <w:start w:val="1"/>
    </w:lvl>
  </w:abstractNum>
  <w:abstractNum w:abstractNumId="163">
    <w:nsid w:val="6EC9D84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
    </w:lvl>
  </w:abstractNum>
  <w:abstractNum w:abstractNumId="164">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65">
    <w:nsid w:val="64AF49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66">
    <w:nsid w:val="397C46BC"/>
    <w:multiLevelType w:val="hybridMultilevel"/>
    <w:lvl w:ilvl="0">
      <w:lvlJc w:val="left"/>
      <w:lvlText w:val="(%1)"/>
      <w:numFmt w:val="lowerLetter"/>
      <w:start w:val="4"/>
    </w:lvl>
  </w:abstractNum>
  <w:abstractNum w:abstractNumId="167">
    <w:nsid w:val="7E448DE9"/>
    <w:multiLevelType w:val="hybridMultilevel"/>
    <w:lvl w:ilvl="0">
      <w:lvlJc w:val="left"/>
      <w:lvlText w:val="%1"/>
      <w:numFmt w:val="lowerLetter"/>
      <w:start w:val="1"/>
    </w:lvl>
    <w:lvl w:ilvl="1">
      <w:lvlJc w:val="left"/>
      <w:lvlText w:val="(%2)"/>
      <w:numFmt w:val="lowerLetter"/>
      <w:start w:val="8"/>
    </w:lvl>
  </w:abstractNum>
  <w:abstractNum w:abstractNumId="168">
    <w:nsid w:val="5A9CC3E5"/>
    <w:multiLevelType w:val="hybridMultilevel"/>
    <w:lvl w:ilvl="0">
      <w:lvlJc w:val="left"/>
      <w:lvlText w:val="(%1)"/>
      <w:numFmt w:val="lowerLetter"/>
      <w:start w:val="9"/>
    </w:lvl>
    <w:lvl w:ilvl="1">
      <w:lvlJc w:val="left"/>
      <w:lvlText w:val="%2"/>
      <w:numFmt w:val="lowerLetter"/>
      <w:start w:val="1"/>
    </w:lvl>
  </w:abstractNum>
  <w:abstractNum w:abstractNumId="169">
    <w:nsid w:val="1AFE3625"/>
    <w:multiLevelType w:val="hybridMultilevel"/>
    <w:lvl w:ilvl="0">
      <w:lvlJc w:val="left"/>
      <w:lvlText w:val="%1"/>
      <w:numFmt w:val="decimal"/>
      <w:start w:val="1"/>
    </w:lvl>
    <w:lvl w:ilvl="1">
      <w:lvlJc w:val="left"/>
      <w:lvlText w:val="(%2)"/>
      <w:numFmt w:val="lowerLetter"/>
      <w:start w:val="12"/>
    </w:lvl>
  </w:abstractNum>
  <w:abstractNum w:abstractNumId="170">
    <w:nsid w:val="3CA88ECF"/>
    <w:multiLevelType w:val="hybridMultilevel"/>
    <w:lvl w:ilvl="0">
      <w:lvlJc w:val="left"/>
      <w:lvlText w:val="%1."/>
      <w:numFmt w:val="decimal"/>
      <w:start w:val="6"/>
    </w:lvl>
    <w:lvl w:ilvl="1">
      <w:lvlJc w:val="left"/>
      <w:lvlText w:val="(%2)"/>
      <w:numFmt w:val="lowerLetter"/>
      <w:start w:val="1"/>
    </w:lvl>
  </w:abstractNum>
  <w:abstractNum w:abstractNumId="171">
    <w:nsid w:val="6EBE4208"/>
    <w:multiLevelType w:val="hybridMultilevel"/>
    <w:lvl w:ilvl="0">
      <w:lvlJc w:val="left"/>
      <w:lvlText w:val="(%1)"/>
      <w:numFmt w:val="lowerLetter"/>
      <w:start w:val="4"/>
    </w:lvl>
    <w:lvl w:ilvl="1">
      <w:lvlJc w:val="left"/>
      <w:lvlText w:val="(%2)"/>
      <w:numFmt w:val="lowerRoman"/>
      <w:start w:val="1"/>
    </w:lvl>
  </w:abstractNum>
  <w:abstractNum w:abstractNumId="172">
    <w:nsid w:val="C058DF5"/>
    <w:multiLevelType w:val="hybridMultilevel"/>
    <w:lvl w:ilvl="0">
      <w:lvlJc w:val="left"/>
      <w:lvlText w:val="%1"/>
      <w:numFmt w:val="decimal"/>
      <w:start w:val="1"/>
    </w:lvl>
    <w:lvl w:ilvl="1">
      <w:lvlJc w:val="left"/>
      <w:lvlText w:val="(%2)"/>
      <w:numFmt w:val="lowerLetter"/>
      <w:start w:val="6"/>
    </w:lvl>
  </w:abstractNum>
  <w:abstractNum w:abstractNumId="173">
    <w:nsid w:val="CBE5BE9"/>
    <w:multiLevelType w:val="hybridMultilevel"/>
    <w:lvl w:ilvl="0">
      <w:lvlJc w:val="left"/>
      <w:lvlText w:val="%1."/>
      <w:numFmt w:val="decimal"/>
      <w:start w:val="7"/>
    </w:lvl>
    <w:lvl w:ilvl="1">
      <w:lvlJc w:val="left"/>
      <w:lvlText w:val="(%2)"/>
      <w:numFmt w:val="lowerLetter"/>
      <w:start w:val="1"/>
    </w:lvl>
  </w:abstractNum>
  <w:abstractNum w:abstractNumId="174">
    <w:nsid w:val="3102BBE2"/>
    <w:multiLevelType w:val="hybridMultilevel"/>
    <w:lvl w:ilvl="0">
      <w:lvlJc w:val="left"/>
      <w:lvlText w:val="(%1)"/>
      <w:numFmt w:val="lowerRoman"/>
      <w:start w:val="1"/>
    </w:lvl>
  </w:abstractNum>
  <w:abstractNum w:abstractNumId="175">
    <w:nsid w:val="26A02C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6">
    <w:nsid w:val="541C815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77">
    <w:nsid w:val="67906F60"/>
    <w:multiLevelType w:val="hybridMultilevel"/>
    <w:lvl w:ilvl="0">
      <w:lvlJc w:val="left"/>
      <w:lvlText w:val="(%1)"/>
      <w:numFmt w:val="lowerRoman"/>
      <w:start w:val="4"/>
    </w:lvl>
  </w:abstractNum>
  <w:abstractNum w:abstractNumId="178">
    <w:nsid w:val="10DB9DAA"/>
    <w:multiLevelType w:val="hybridMultilevel"/>
    <w:lvl w:ilvl="0">
      <w:lvlJc w:val="left"/>
      <w:lvlText w:val="(%1)"/>
      <w:numFmt w:val="lowerLetter"/>
      <w:start w:val="2"/>
    </w:lvl>
  </w:abstractNum>
  <w:abstractNum w:abstractNumId="179">
    <w:nsid w:val="697D2D2"/>
    <w:multiLevelType w:val="hybridMultilevel"/>
    <w:lvl w:ilvl="0">
      <w:lvlJc w:val="left"/>
      <w:lvlText w:val="%1"/>
      <w:numFmt w:val="lowerLetter"/>
      <w:start w:val="1"/>
    </w:lvl>
    <w:lvl w:ilvl="1">
      <w:lvlJc w:val="left"/>
      <w:lvlText w:val="(%2)"/>
      <w:numFmt w:val="lowerRoman"/>
      <w:start w:val="1"/>
    </w:lvl>
  </w:abstractNum>
  <w:abstractNum w:abstractNumId="180">
    <w:nsid w:val="6D68AB2"/>
    <w:multiLevelType w:val="hybridMultilevel"/>
    <w:lvl w:ilvl="0">
      <w:lvlJc w:val="left"/>
      <w:lvlText w:val="(%1)"/>
      <w:numFmt w:val="lowerLetter"/>
      <w:start w:val="4"/>
    </w:lvl>
    <w:lvl w:ilvl="1">
      <w:lvlJc w:val="left"/>
      <w:lvlText w:val="(%2)"/>
      <w:numFmt w:val="lowerRoman"/>
      <w:start w:val="1"/>
    </w:lvl>
  </w:abstractNum>
  <w:abstractNum w:abstractNumId="181">
    <w:nsid w:val="3A966CD0"/>
    <w:multiLevelType w:val="hybridMultilevel"/>
    <w:lvl w:ilvl="0">
      <w:lvlJc w:val="left"/>
      <w:lvlText w:val="(%1)"/>
      <w:numFmt w:val="lowerRoman"/>
      <w:start w:val="2"/>
    </w:lvl>
  </w:abstractNum>
  <w:abstractNum w:abstractNumId="182">
    <w:nsid w:val="63F37E85"/>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183">
    <w:nsid w:val="5895F5F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84">
    <w:nsid w:val="38A5D054"/>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85">
    <w:nsid w:val="F3F09D8"/>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186">
    <w:nsid w:val="4B793735"/>
    <w:multiLevelType w:val="hybridMultilevel"/>
    <w:lvl w:ilvl="0">
      <w:lvlJc w:val="left"/>
      <w:lvlText w:val="(%1)"/>
      <w:numFmt w:val="decimal"/>
      <w:start w:val="3"/>
    </w:lvl>
    <w:lvl w:ilvl="1">
      <w:lvlJc w:val="left"/>
      <w:lvlText w:val="(%2)"/>
      <w:numFmt w:val="lowerRoman"/>
      <w:start w:val="3"/>
    </w:lvl>
    <w:lvl w:ilvl="2">
      <w:lvlJc w:val="left"/>
      <w:lvlText w:val="%3"/>
      <w:numFmt w:val="decimal"/>
      <w:start w:val="1"/>
    </w:lvl>
  </w:abstractNum>
  <w:abstractNum w:abstractNumId="187">
    <w:nsid w:val="4A10B4E8"/>
    <w:multiLevelType w:val="hybridMultilevel"/>
    <w:lvl w:ilvl="0">
      <w:lvlJc w:val="left"/>
      <w:lvlText w:val="(%1)"/>
      <w:numFmt w:val="lowerRoman"/>
      <w:start w:val="4"/>
    </w:lvl>
  </w:abstractNum>
  <w:abstractNum w:abstractNumId="188">
    <w:nsid w:val="43D3BC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9">
    <w:nsid w:val="4C2A716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0">
    <w:nsid w:val="2E534A8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191">
    <w:nsid w:val="26F2D36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92">
    <w:nsid w:val="71C1AF98"/>
    <w:multiLevelType w:val="hybridMultilevel"/>
    <w:lvl w:ilvl="0">
      <w:lvlJc w:val="left"/>
      <w:lvlText w:val="(%1)"/>
      <w:numFmt w:val="lowerLetter"/>
      <w:start w:val="4"/>
    </w:lvl>
  </w:abstractNum>
  <w:abstractNum w:abstractNumId="193">
    <w:nsid w:val="3D00B9D9"/>
    <w:multiLevelType w:val="hybridMultilevel"/>
    <w:lvl w:ilvl="0">
      <w:lvlJc w:val="left"/>
      <w:lvlText w:val="%1."/>
      <w:numFmt w:val="decimal"/>
      <w:start w:val="11"/>
    </w:lvl>
  </w:abstractNum>
  <w:abstractNum w:abstractNumId="194">
    <w:nsid w:val="15BCABA8"/>
    <w:multiLevelType w:val="hybridMultilevel"/>
    <w:lvl w:ilvl="0">
      <w:lvlJc w:val="left"/>
      <w:lvlText w:val="%1."/>
      <w:numFmt w:val="decimal"/>
      <w:start w:val="15"/>
    </w:lvl>
  </w:abstractNum>
  <w:abstractNum w:abstractNumId="195">
    <w:nsid w:val="4E0B9A87"/>
    <w:multiLevelType w:val="hybridMultilevel"/>
    <w:lvl w:ilvl="0">
      <w:lvlJc w:val="left"/>
      <w:lvlText w:val="%1."/>
      <w:numFmt w:val="decimal"/>
      <w:start w:val="18"/>
    </w:lvl>
  </w:abstractNum>
  <w:abstractNum w:abstractNumId="196">
    <w:nsid w:val="434BAE75"/>
    <w:multiLevelType w:val="hybridMultilevel"/>
    <w:lvl w:ilvl="0">
      <w:lvlJc w:val="left"/>
      <w:lvlText w:val="%1."/>
      <w:numFmt w:val="decimal"/>
      <w:start w:val="20"/>
    </w:lvl>
    <w:lvl w:ilvl="1">
      <w:lvlJc w:val="left"/>
      <w:lvlText w:val="(%2)"/>
      <w:numFmt w:val="lowerLetter"/>
      <w:start w:val="1"/>
    </w:lvl>
  </w:abstractNum>
  <w:abstractNum w:abstractNumId="197">
    <w:nsid w:val="4F38F265"/>
    <w:multiLevelType w:val="hybridMultilevel"/>
    <w:lvl w:ilvl="0">
      <w:lvlJc w:val="left"/>
      <w:lvlText w:val="(%1)"/>
      <w:numFmt w:val="lowerLetter"/>
      <w:start w:val="3"/>
    </w:lvl>
  </w:abstractNum>
  <w:abstractNum w:abstractNumId="198">
    <w:nsid w:val="4C5028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99">
    <w:nsid w:val="1DE8725A"/>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200">
    <w:nsid w:val="6A37288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01">
    <w:nsid w:val="8F8B73F"/>
    <w:multiLevelType w:val="hybridMultilevel"/>
    <w:lvl w:ilvl="0">
      <w:lvlJc w:val="left"/>
      <w:lvlText w:val="%1."/>
      <w:numFmt w:val="decimal"/>
      <w:start w:val="24"/>
    </w:lvl>
  </w:abstractNum>
  <w:abstractNum w:abstractNumId="202">
    <w:nsid w:val="CA6B462"/>
    <w:multiLevelType w:val="hybridMultilevel"/>
    <w:lvl w:ilvl="0">
      <w:lvlJc w:val="left"/>
      <w:lvlText w:val="%1."/>
      <w:numFmt w:val="decimal"/>
      <w:start w:val="1"/>
    </w:lvl>
  </w:abstractNum>
  <w:abstractNum w:abstractNumId="203">
    <w:nsid w:val="763CB680"/>
    <w:multiLevelType w:val="hybridMultilevel"/>
    <w:lvl w:ilvl="0">
      <w:lvlJc w:val="left"/>
      <w:lvlText w:val="%1."/>
      <w:numFmt w:val="decimal"/>
      <w:start w:val="4"/>
    </w:lvl>
    <w:lvl w:ilvl="1">
      <w:lvlJc w:val="left"/>
      <w:lvlText w:val="•"/>
      <w:numFmt w:val="bullet"/>
      <w:start w:val="1"/>
    </w:lvl>
  </w:abstractNum>
  <w:abstractNum w:abstractNumId="204">
    <w:nsid w:val="15B71329"/>
    <w:multiLevelType w:val="hybridMultilevel"/>
    <w:lvl w:ilvl="0">
      <w:lvlJc w:val="left"/>
      <w:lvlText w:val="•"/>
      <w:numFmt w:val="bullet"/>
      <w:start w:val="1"/>
    </w:lvl>
  </w:abstractNum>
  <w:abstractNum w:abstractNumId="205">
    <w:nsid w:val="3DA97044"/>
    <w:multiLevelType w:val="hybridMultilevel"/>
    <w:lvl w:ilvl="0">
      <w:lvlJc w:val="left"/>
      <w:lvlText w:val="%1."/>
      <w:numFmt w:val="decimal"/>
      <w:start w:val="5"/>
    </w:lvl>
  </w:abstractNum>
  <w:abstractNum w:abstractNumId="206">
    <w:nsid w:val="1CDCE2DE"/>
    <w:multiLevelType w:val="hybridMultilevel"/>
    <w:lvl w:ilvl="0">
      <w:lvlJc w:val="left"/>
      <w:lvlText w:val="%1."/>
      <w:numFmt w:val="decimal"/>
      <w:start w:val="7"/>
    </w:lvl>
  </w:abstractNum>
  <w:abstractNum w:abstractNumId="207">
    <w:nsid w:val="69D3947C"/>
    <w:multiLevelType w:val="hybridMultilevel"/>
    <w:lvl w:ilvl="0">
      <w:lvlJc w:val="left"/>
      <w:lvlText w:val="%1."/>
      <w:numFmt w:val="decimal"/>
      <w:start w:val="11"/>
    </w:lvl>
  </w:abstractNum>
  <w:abstractNum w:abstractNumId="208">
    <w:nsid w:val="2539DFA5"/>
    <w:multiLevelType w:val="hybridMultilevel"/>
    <w:lvl w:ilvl="0">
      <w:lvlJc w:val="left"/>
      <w:lvlText w:val="%1."/>
      <w:numFmt w:val="decimal"/>
      <w:start w:val="16"/>
    </w:lvl>
  </w:abstractNum>
  <w:abstractNum w:abstractNumId="209">
    <w:nsid w:val="2DB88089"/>
    <w:multiLevelType w:val="hybridMultilevel"/>
    <w:lvl w:ilvl="0">
      <w:lvlJc w:val="left"/>
      <w:lvlText w:val="%1."/>
      <w:numFmt w:val="decimal"/>
      <w:start w:val="22"/>
    </w:lvl>
    <w:lvl w:ilvl="1">
      <w:lvlJc w:val="left"/>
      <w:lvlText w:val="(%2)"/>
      <w:numFmt w:val="lowerLetter"/>
      <w:start w:val="1"/>
    </w:lvl>
  </w:abstractNum>
  <w:abstractNum w:abstractNumId="210">
    <w:nsid w:val="706B674E"/>
    <w:multiLevelType w:val="hybridMultilevel"/>
    <w:lvl w:ilvl="0">
      <w:lvlJc w:val="left"/>
      <w:lvlText w:val="(%1)"/>
      <w:numFmt w:val="lowerLetter"/>
      <w:start w:val="5"/>
    </w:lvl>
  </w:abstractNum>
  <w:abstractNum w:abstractNumId="211">
    <w:nsid w:val="2C106A57"/>
    <w:multiLevelType w:val="hybridMultilevel"/>
    <w:lvl w:ilvl="0">
      <w:lvlJc w:val="left"/>
      <w:lvlText w:val="%1."/>
      <w:numFmt w:val="decimal"/>
      <w:start w:val="1"/>
    </w:lvl>
    <w:lvl w:ilvl="1">
      <w:lvlJc w:val="left"/>
      <w:lvlText w:val="(%2)"/>
      <w:numFmt w:val="lowerLetter"/>
      <w:start w:val="1"/>
    </w:lvl>
  </w:abstractNum>
  <w:abstractNum w:abstractNumId="212">
    <w:nsid w:val="684EED59"/>
    <w:multiLevelType w:val="hybridMultilevel"/>
    <w:lvl w:ilvl="0">
      <w:lvlJc w:val="left"/>
      <w:lvlText w:val="%1."/>
      <w:numFmt w:val="decimal"/>
      <w:start w:val="1"/>
    </w:lvl>
    <w:lvl w:ilvl="1">
      <w:lvlJc w:val="left"/>
      <w:lvlText w:val="(%2)"/>
      <w:numFmt w:val="lowerLetter"/>
      <w:start w:val="1"/>
    </w:lvl>
  </w:abstractNum>
  <w:abstractNum w:abstractNumId="213">
    <w:nsid w:val="545EE5D3"/>
    <w:multiLevelType w:val="hybridMultilevel"/>
    <w:lvl w:ilvl="0">
      <w:lvlJc w:val="left"/>
      <w:lvlText w:val="(%1)"/>
      <w:numFmt w:val="decimal"/>
      <w:start w:val="1"/>
    </w:lvl>
  </w:abstractNum>
  <w:abstractNum w:abstractNumId="214">
    <w:nsid w:val="4A6605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35" Type="http://schemas.openxmlformats.org/officeDocument/2006/relationships/hyperlink" Target="https://www.sec.gov/Archives/edgar/data/745732/000074573215000022/exhibit31certificateofamen.htm" TargetMode="External"/><Relationship Id="rId36" Type="http://schemas.openxmlformats.org/officeDocument/2006/relationships/hyperlink" Target="https://www.sec.gov/Archives/edgar/data/745732/000074573223000010/rossstores-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2026-06-02T15:52:25Z</dcterms:created>
  <dcterms:modified xsi:type="dcterms:W3CDTF">2026-06-02T15:52:25Z</dcterms:modified>
</cp:coreProperties>
</file>